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E02" w:rsidRDefault="00EB7207">
      <w:pPr>
        <w:rPr>
          <w:rFonts w:ascii="Arial" w:hAnsi="Arial" w:cs="Arial"/>
          <w:lang w:val="el-GR"/>
        </w:rPr>
      </w:pPr>
      <w:bookmarkStart w:id="0" w:name="_Toc359403100"/>
      <w:r>
        <w:rPr>
          <w:noProof/>
        </w:rPr>
        <w:drawing>
          <wp:anchor distT="0" distB="0" distL="114300" distR="114300" simplePos="0" relativeHeight="251658240" behindDoc="0" locked="0" layoutInCell="1" allowOverlap="1">
            <wp:simplePos x="0" y="0"/>
            <wp:positionH relativeFrom="column">
              <wp:posOffset>1028700</wp:posOffset>
            </wp:positionH>
            <wp:positionV relativeFrom="paragraph">
              <wp:posOffset>-114300</wp:posOffset>
            </wp:positionV>
            <wp:extent cx="3294380" cy="917575"/>
            <wp:effectExtent l="0" t="0" r="1270"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4380" cy="917575"/>
                    </a:xfrm>
                    <a:prstGeom prst="rect">
                      <a:avLst/>
                    </a:prstGeom>
                    <a:noFill/>
                  </pic:spPr>
                </pic:pic>
              </a:graphicData>
            </a:graphic>
            <wp14:sizeRelH relativeFrom="page">
              <wp14:pctWidth>0</wp14:pctWidth>
            </wp14:sizeRelH>
            <wp14:sizeRelV relativeFrom="page">
              <wp14:pctHeight>0</wp14:pctHeight>
            </wp14:sizeRelV>
          </wp:anchor>
        </w:drawing>
      </w:r>
    </w:p>
    <w:p w:rsidR="00175E02" w:rsidRDefault="00175E02">
      <w:pPr>
        <w:rPr>
          <w:rFonts w:ascii="Arial" w:hAnsi="Arial" w:cs="Arial"/>
          <w:lang w:val="el-GR"/>
        </w:rPr>
      </w:pPr>
    </w:p>
    <w:p w:rsidR="00175E02" w:rsidRDefault="00175E02">
      <w:pPr>
        <w:rPr>
          <w:rFonts w:ascii="Arial" w:hAnsi="Arial" w:cs="Arial"/>
          <w:lang w:val="el-GR"/>
        </w:rPr>
      </w:pPr>
    </w:p>
    <w:p w:rsidR="00175E02" w:rsidRDefault="00175E02">
      <w:pPr>
        <w:rPr>
          <w:rFonts w:ascii="Arial" w:hAnsi="Arial" w:cs="Arial"/>
          <w:lang w:val="el-GR"/>
        </w:rPr>
      </w:pPr>
    </w:p>
    <w:p w:rsidR="00175E02" w:rsidRDefault="00175E02">
      <w:pPr>
        <w:spacing w:after="120"/>
        <w:jc w:val="center"/>
        <w:outlineLvl w:val="0"/>
        <w:rPr>
          <w:rFonts w:ascii="Arial" w:hAnsi="Arial" w:cs="Arial"/>
          <w:sz w:val="28"/>
          <w:szCs w:val="28"/>
        </w:rPr>
      </w:pPr>
      <w:bookmarkStart w:id="1" w:name="_Toc359403099"/>
      <w:r>
        <w:rPr>
          <w:rFonts w:ascii="Arial" w:hAnsi="Arial" w:cs="Arial"/>
          <w:sz w:val="28"/>
          <w:szCs w:val="28"/>
          <w:lang w:val="el-GR"/>
        </w:rPr>
        <w:t>ΕΡΓΟ:</w:t>
      </w:r>
      <w:bookmarkEnd w:id="1"/>
      <w:r>
        <w:rPr>
          <w:rFonts w:ascii="Arial" w:hAnsi="Arial" w:cs="Arial"/>
          <w:sz w:val="28"/>
          <w:szCs w:val="28"/>
          <w:lang w:val="el-GR"/>
        </w:rPr>
        <w:t xml:space="preserve"> </w:t>
      </w:r>
    </w:p>
    <w:p w:rsidR="00175E02" w:rsidRDefault="00175E02">
      <w:pPr>
        <w:spacing w:after="120"/>
        <w:jc w:val="center"/>
        <w:outlineLvl w:val="0"/>
        <w:rPr>
          <w:rFonts w:ascii="Arial" w:hAnsi="Arial" w:cs="Arial"/>
          <w:sz w:val="28"/>
          <w:szCs w:val="28"/>
          <w:lang w:val="el-GR"/>
        </w:rPr>
      </w:pPr>
      <w:r>
        <w:rPr>
          <w:rFonts w:ascii="Arial" w:hAnsi="Arial" w:cs="Arial"/>
          <w:sz w:val="28"/>
          <w:szCs w:val="28"/>
          <w:lang w:val="el-GR"/>
        </w:rPr>
        <w:t>Ενδιάμεση αξιολόγηση της δράσης «Ολοκληρωμένο σχέδιο παρέμβασης για τη στήριξη της επιχειρηματικότητας, των επιχειρήσεων και των εργαζομένων τους, μέσω δράσεων συμβουλευτικής και κατάρτισης καθώς και στήριξης της απασχόλησης σε περιοχές που υφίστανται τις συνέπειες της οικονομικής κρίσης»</w:t>
      </w:r>
      <w:bookmarkEnd w:id="0"/>
    </w:p>
    <w:p w:rsidR="00175E02" w:rsidRDefault="00EB7207">
      <w:pPr>
        <w:spacing w:after="120"/>
        <w:jc w:val="center"/>
        <w:outlineLvl w:val="0"/>
        <w:rPr>
          <w:rFonts w:ascii="Arial" w:hAnsi="Arial" w:cs="Arial"/>
          <w:sz w:val="28"/>
          <w:szCs w:val="28"/>
          <w:lang w:val="el-GR"/>
        </w:rPr>
      </w:pPr>
      <w:r>
        <w:rPr>
          <w:noProof/>
        </w:rPr>
        <w:drawing>
          <wp:anchor distT="0" distB="0" distL="114300" distR="114300" simplePos="0" relativeHeight="251659264" behindDoc="0" locked="0" layoutInCell="1" allowOverlap="1">
            <wp:simplePos x="0" y="0"/>
            <wp:positionH relativeFrom="column">
              <wp:posOffset>1600200</wp:posOffset>
            </wp:positionH>
            <wp:positionV relativeFrom="paragraph">
              <wp:posOffset>178435</wp:posOffset>
            </wp:positionV>
            <wp:extent cx="2324100" cy="396240"/>
            <wp:effectExtent l="0" t="0" r="0" b="3810"/>
            <wp:wrapNone/>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4100" cy="396240"/>
                    </a:xfrm>
                    <a:prstGeom prst="rect">
                      <a:avLst/>
                    </a:prstGeom>
                    <a:noFill/>
                  </pic:spPr>
                </pic:pic>
              </a:graphicData>
            </a:graphic>
            <wp14:sizeRelH relativeFrom="page">
              <wp14:pctWidth>0</wp14:pctWidth>
            </wp14:sizeRelH>
            <wp14:sizeRelV relativeFrom="page">
              <wp14:pctHeight>0</wp14:pctHeight>
            </wp14:sizeRelV>
          </wp:anchor>
        </w:drawing>
      </w:r>
    </w:p>
    <w:p w:rsidR="00175E02" w:rsidRDefault="00175E02">
      <w:pPr>
        <w:spacing w:after="120"/>
        <w:jc w:val="center"/>
        <w:outlineLvl w:val="0"/>
        <w:rPr>
          <w:rFonts w:ascii="Arial" w:hAnsi="Arial" w:cs="Arial"/>
          <w:sz w:val="28"/>
          <w:szCs w:val="28"/>
          <w:lang w:val="el-GR"/>
        </w:rPr>
      </w:pPr>
    </w:p>
    <w:p w:rsidR="00175E02" w:rsidRDefault="00175E02">
      <w:pPr>
        <w:spacing w:after="120"/>
        <w:jc w:val="center"/>
        <w:outlineLvl w:val="0"/>
        <w:rPr>
          <w:rFonts w:ascii="Arial" w:hAnsi="Arial" w:cs="Arial"/>
          <w:sz w:val="28"/>
          <w:szCs w:val="28"/>
        </w:rPr>
      </w:pPr>
    </w:p>
    <w:p w:rsidR="00175E02" w:rsidRDefault="00175E02">
      <w:pPr>
        <w:spacing w:after="120"/>
        <w:jc w:val="center"/>
        <w:outlineLvl w:val="0"/>
        <w:rPr>
          <w:rFonts w:ascii="Arial" w:hAnsi="Arial" w:cs="Arial"/>
          <w:sz w:val="28"/>
          <w:szCs w:val="28"/>
        </w:rPr>
      </w:pPr>
    </w:p>
    <w:p w:rsidR="00175E02" w:rsidRDefault="00175E02">
      <w:pPr>
        <w:spacing w:after="120"/>
        <w:jc w:val="center"/>
        <w:outlineLvl w:val="0"/>
        <w:rPr>
          <w:rFonts w:ascii="Arial" w:hAnsi="Arial" w:cs="Arial"/>
          <w:sz w:val="28"/>
          <w:szCs w:val="28"/>
        </w:rPr>
      </w:pPr>
      <w:r>
        <w:rPr>
          <w:rFonts w:ascii="Arial" w:hAnsi="Arial" w:cs="Arial"/>
          <w:sz w:val="28"/>
          <w:szCs w:val="28"/>
          <w:lang w:val="el-GR"/>
        </w:rPr>
        <w:t>ΕΠΙΤΕΛΙΚΗ ΣΥΝΟΨΗ ΤΩΝ ΠΑΚΕΤΩΝ ΕΡΓΑΣΙΑΣ 1Β ΚΑΙ 1Γ</w:t>
      </w:r>
    </w:p>
    <w:p w:rsidR="00175E02" w:rsidRDefault="00175E02">
      <w:pPr>
        <w:spacing w:after="120"/>
        <w:jc w:val="center"/>
        <w:outlineLvl w:val="0"/>
        <w:rPr>
          <w:rFonts w:ascii="Arial" w:hAnsi="Arial" w:cs="Arial"/>
          <w:color w:val="333399"/>
          <w:sz w:val="28"/>
          <w:szCs w:val="28"/>
          <w:lang w:val="el-GR"/>
        </w:rPr>
      </w:pPr>
    </w:p>
    <w:p w:rsidR="00175E02" w:rsidRDefault="00175E02">
      <w:pPr>
        <w:spacing w:after="120"/>
        <w:jc w:val="center"/>
        <w:outlineLvl w:val="0"/>
        <w:rPr>
          <w:rFonts w:ascii="Arial" w:hAnsi="Arial" w:cs="Arial"/>
          <w:highlight w:val="yellow"/>
          <w:lang w:val="el-GR"/>
        </w:rPr>
      </w:pPr>
    </w:p>
    <w:p w:rsidR="00175E02" w:rsidRDefault="00175E02">
      <w:pPr>
        <w:pStyle w:val="BodyText1"/>
        <w:jc w:val="center"/>
        <w:rPr>
          <w:b/>
          <w:bCs/>
          <w:sz w:val="24"/>
          <w:szCs w:val="24"/>
        </w:rPr>
      </w:pPr>
      <w:r>
        <w:rPr>
          <w:b/>
          <w:bCs/>
          <w:sz w:val="24"/>
          <w:szCs w:val="24"/>
        </w:rPr>
        <w:t>20 ΙΑΝΟΥΑΡΙΟΥ 2014</w:t>
      </w:r>
    </w:p>
    <w:p w:rsidR="00175E02" w:rsidRDefault="00175E02">
      <w:pPr>
        <w:spacing w:after="120"/>
        <w:jc w:val="center"/>
        <w:outlineLvl w:val="0"/>
        <w:rPr>
          <w:rFonts w:ascii="Arial" w:hAnsi="Arial" w:cs="Arial"/>
        </w:rPr>
      </w:pPr>
    </w:p>
    <w:p w:rsidR="00175E02" w:rsidRDefault="00175E02">
      <w:pPr>
        <w:spacing w:after="120"/>
        <w:jc w:val="center"/>
        <w:outlineLvl w:val="0"/>
        <w:rPr>
          <w:rFonts w:ascii="Arial" w:hAnsi="Arial" w:cs="Arial"/>
        </w:rPr>
      </w:pPr>
    </w:p>
    <w:p w:rsidR="00175E02" w:rsidRDefault="00175E02">
      <w:pPr>
        <w:spacing w:after="120"/>
        <w:jc w:val="center"/>
        <w:outlineLvl w:val="0"/>
        <w:rPr>
          <w:rFonts w:ascii="Arial" w:hAnsi="Arial" w:cs="Arial"/>
        </w:rPr>
      </w:pPr>
    </w:p>
    <w:p w:rsidR="00175E02" w:rsidRDefault="00175E02">
      <w:pPr>
        <w:spacing w:after="120"/>
        <w:jc w:val="center"/>
        <w:outlineLvl w:val="0"/>
        <w:rPr>
          <w:rFonts w:ascii="Arial" w:hAnsi="Arial" w:cs="Arial"/>
          <w:sz w:val="28"/>
          <w:szCs w:val="28"/>
          <w:lang w:val="el-GR"/>
        </w:rPr>
      </w:pPr>
      <w:r>
        <w:rPr>
          <w:rFonts w:ascii="Arial" w:hAnsi="Arial" w:cs="Arial"/>
          <w:sz w:val="28"/>
          <w:szCs w:val="28"/>
          <w:lang w:val="el-GR"/>
        </w:rPr>
        <w:t>ΑΝΑΔΟΧΟΣ:</w:t>
      </w:r>
    </w:p>
    <w:p w:rsidR="00175E02" w:rsidRDefault="00EB7207">
      <w:pPr>
        <w:spacing w:after="120"/>
        <w:jc w:val="center"/>
        <w:outlineLvl w:val="0"/>
        <w:rPr>
          <w:rFonts w:ascii="Arial" w:hAnsi="Arial" w:cs="Arial"/>
          <w:sz w:val="28"/>
          <w:szCs w:val="28"/>
          <w:lang w:val="el-GR"/>
        </w:rPr>
      </w:pPr>
      <w:r>
        <w:rPr>
          <w:noProof/>
        </w:rPr>
        <w:drawing>
          <wp:anchor distT="0" distB="0" distL="114300" distR="114300" simplePos="0" relativeHeight="251660288" behindDoc="0" locked="0" layoutInCell="1" allowOverlap="1">
            <wp:simplePos x="0" y="0"/>
            <wp:positionH relativeFrom="column">
              <wp:posOffset>1600200</wp:posOffset>
            </wp:positionH>
            <wp:positionV relativeFrom="paragraph">
              <wp:posOffset>26035</wp:posOffset>
            </wp:positionV>
            <wp:extent cx="2057400" cy="834390"/>
            <wp:effectExtent l="0" t="0" r="0" b="3810"/>
            <wp:wrapNone/>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834390"/>
                    </a:xfrm>
                    <a:prstGeom prst="rect">
                      <a:avLst/>
                    </a:prstGeom>
                    <a:noFill/>
                  </pic:spPr>
                </pic:pic>
              </a:graphicData>
            </a:graphic>
            <wp14:sizeRelH relativeFrom="page">
              <wp14:pctWidth>0</wp14:pctWidth>
            </wp14:sizeRelH>
            <wp14:sizeRelV relativeFrom="page">
              <wp14:pctHeight>0</wp14:pctHeight>
            </wp14:sizeRelV>
          </wp:anchor>
        </w:drawing>
      </w:r>
    </w:p>
    <w:p w:rsidR="00175E02" w:rsidRDefault="00175E02">
      <w:pPr>
        <w:spacing w:after="120"/>
        <w:jc w:val="center"/>
        <w:outlineLvl w:val="0"/>
        <w:rPr>
          <w:rFonts w:ascii="Arial" w:hAnsi="Arial" w:cs="Arial"/>
          <w:sz w:val="28"/>
          <w:szCs w:val="28"/>
          <w:lang w:val="el-GR"/>
        </w:rPr>
      </w:pPr>
    </w:p>
    <w:p w:rsidR="00175E02" w:rsidRDefault="00175E02">
      <w:pPr>
        <w:rPr>
          <w:lang w:val="el-GR"/>
        </w:rPr>
        <w:sectPr w:rsidR="00175E02">
          <w:pgSz w:w="11906" w:h="16838"/>
          <w:pgMar w:top="1440" w:right="1800" w:bottom="1440" w:left="1800" w:header="708" w:footer="903" w:gutter="0"/>
          <w:pgNumType w:start="1"/>
          <w:cols w:space="708"/>
          <w:docGrid w:linePitch="360"/>
        </w:sectPr>
      </w:pPr>
    </w:p>
    <w:p w:rsidR="00175E02" w:rsidRDefault="00175E02">
      <w:pPr>
        <w:spacing w:after="120" w:line="360" w:lineRule="exact"/>
        <w:jc w:val="center"/>
        <w:rPr>
          <w:rFonts w:ascii="Times New Roman" w:hAnsi="Times New Roman" w:cs="Times New Roman"/>
          <w:b/>
          <w:bCs/>
          <w:sz w:val="24"/>
          <w:szCs w:val="24"/>
          <w:lang w:val="el-GR"/>
        </w:rPr>
      </w:pPr>
      <w:r>
        <w:rPr>
          <w:b/>
          <w:bCs/>
          <w:sz w:val="24"/>
          <w:szCs w:val="24"/>
          <w:lang w:val="el-GR"/>
        </w:rPr>
        <w:lastRenderedPageBreak/>
        <w:t>ΕΠΙΤΕΛΙΚΗ ΣΥΝΟΨΗ</w:t>
      </w:r>
    </w:p>
    <w:p w:rsidR="00175E02" w:rsidRDefault="00175E02">
      <w:pPr>
        <w:spacing w:after="120" w:line="360" w:lineRule="exact"/>
        <w:rPr>
          <w:rFonts w:ascii="Times New Roman" w:hAnsi="Times New Roman" w:cs="Times New Roman"/>
          <w:highlight w:val="yellow"/>
          <w:lang w:val="el-GR"/>
        </w:rPr>
      </w:pPr>
    </w:p>
    <w:p w:rsidR="00175E02" w:rsidRPr="00904680" w:rsidRDefault="00175E02">
      <w:pPr>
        <w:spacing w:after="120" w:line="360" w:lineRule="exact"/>
        <w:rPr>
          <w:rFonts w:asciiTheme="minorHAnsi" w:hAnsiTheme="minorHAnsi" w:cs="Times New Roman"/>
          <w:lang w:val="el-GR"/>
        </w:rPr>
      </w:pPr>
      <w:r>
        <w:rPr>
          <w:lang w:val="el-GR"/>
        </w:rPr>
        <w:t>Το παρόν παραδοτέο αποτελεί την Επιτελική Σύνοψη των παραδοτέων 1Β και 1Γ της 1</w:t>
      </w:r>
      <w:r>
        <w:rPr>
          <w:vertAlign w:val="superscript"/>
          <w:lang w:val="el-GR"/>
        </w:rPr>
        <w:t>ης</w:t>
      </w:r>
      <w:r>
        <w:rPr>
          <w:lang w:val="el-GR"/>
        </w:rPr>
        <w:t xml:space="preserve"> Φάσης της ενδιάμεσης αξιολόγησης του Προγράμματος «Ολοκληρωμένο σχέδιο παρέμβασης για την στήριξη της επιχειρηματικότητας των επιχειρήσεων και των εργαζομένων τους, μέσω δράσεων συμβουλευτικής και κατάρτισης, καθώς και στήριξης της απασχόλησης σε περιοχές που υφίστανται τις συνέπειες </w:t>
      </w:r>
      <w:r w:rsidRPr="00904680">
        <w:rPr>
          <w:rFonts w:asciiTheme="minorHAnsi" w:hAnsiTheme="minorHAnsi"/>
          <w:lang w:val="el-GR"/>
        </w:rPr>
        <w:t>της οικονομικής κρίσης»</w:t>
      </w:r>
      <w:r w:rsidRPr="00904680">
        <w:rPr>
          <w:rFonts w:asciiTheme="minorHAnsi" w:hAnsiTheme="minorHAnsi" w:cs="Times New Roman"/>
          <w:lang w:val="el-GR"/>
        </w:rPr>
        <w:t>.</w:t>
      </w:r>
    </w:p>
    <w:p w:rsidR="00175E02" w:rsidRPr="00904680" w:rsidRDefault="00904680">
      <w:pPr>
        <w:spacing w:after="120" w:line="360" w:lineRule="exact"/>
      </w:pPr>
      <w:r w:rsidRPr="00904680">
        <w:rPr>
          <w:rFonts w:asciiTheme="minorHAnsi" w:hAnsiTheme="minorHAnsi"/>
          <w:lang w:val="el-GR"/>
        </w:rPr>
        <w:t xml:space="preserve">Το Πρόγραμμα συγχρηματοδοτείται από Ευρωπαϊκό Κοινωνικό Ταμείο (ΕΚΤ) στο πλαίσιο του Επιχειρησιακού Προγράμματος «Εθνικό Αποθεματικό Απροβλέπτων» (ΕΠΕΑΑ) και διαρθρώνεται </w:t>
      </w:r>
      <w:r>
        <w:rPr>
          <w:rFonts w:asciiTheme="minorHAnsi" w:hAnsiTheme="minorHAnsi"/>
          <w:lang w:val="el-GR"/>
        </w:rPr>
        <w:t xml:space="preserve">σε </w:t>
      </w:r>
      <w:r w:rsidRPr="00904680">
        <w:rPr>
          <w:rFonts w:asciiTheme="minorHAnsi" w:hAnsiTheme="minorHAnsi"/>
          <w:lang w:val="el-GR"/>
        </w:rPr>
        <w:t>δύο επιμέρους δράσεις:</w:t>
      </w:r>
      <w:r w:rsidR="00175E02" w:rsidRPr="00904680">
        <w:rPr>
          <w:rFonts w:asciiTheme="minorHAnsi" w:hAnsiTheme="minorHAnsi"/>
          <w:lang w:val="el-GR"/>
        </w:rPr>
        <w:t xml:space="preserve"> τη </w:t>
      </w:r>
      <w:r w:rsidR="00175E02" w:rsidRPr="00904680">
        <w:rPr>
          <w:rFonts w:asciiTheme="minorHAnsi" w:hAnsiTheme="minorHAnsi"/>
          <w:b/>
          <w:bCs/>
          <w:lang w:val="el-GR"/>
        </w:rPr>
        <w:t>Δράση 1</w:t>
      </w:r>
      <w:r w:rsidR="00175E02" w:rsidRPr="00904680">
        <w:rPr>
          <w:rFonts w:asciiTheme="minorHAnsi" w:hAnsiTheme="minorHAnsi"/>
          <w:lang w:val="el-GR"/>
        </w:rPr>
        <w:t xml:space="preserve"> «Σχέδιο στήριξης επιχειρηματικών πρωτοβουλιών ανέργων και νέων επιχειρηματιών (</w:t>
      </w:r>
      <w:r w:rsidR="00175E02" w:rsidRPr="00904680">
        <w:rPr>
          <w:rFonts w:asciiTheme="minorHAnsi" w:hAnsiTheme="minorHAnsi"/>
        </w:rPr>
        <w:t>start</w:t>
      </w:r>
      <w:r w:rsidR="00175E02" w:rsidRPr="00904680">
        <w:rPr>
          <w:rFonts w:asciiTheme="minorHAnsi" w:hAnsiTheme="minorHAnsi" w:cs="Times New Roman"/>
          <w:lang w:val="el-GR"/>
        </w:rPr>
        <w:t>-</w:t>
      </w:r>
      <w:r w:rsidR="00175E02" w:rsidRPr="00904680">
        <w:rPr>
          <w:rFonts w:asciiTheme="minorHAnsi" w:hAnsiTheme="minorHAnsi"/>
        </w:rPr>
        <w:t>up</w:t>
      </w:r>
      <w:r w:rsidR="00175E02" w:rsidRPr="00904680">
        <w:rPr>
          <w:rFonts w:asciiTheme="minorHAnsi" w:hAnsiTheme="minorHAnsi"/>
          <w:lang w:val="el-GR"/>
        </w:rPr>
        <w:t>)», με στόχο την ίδρυση περίπου 3.000</w:t>
      </w:r>
      <w:r w:rsidR="00175E02">
        <w:rPr>
          <w:lang w:val="el-GR"/>
        </w:rPr>
        <w:t xml:space="preserve"> νέων επιχειρήσεων, καθώς και τη δημιουργία περισσότερων από 4.500 νέες θέσεις εργασίας (συμπεριλαμβανομένου του επιχειρηματία), και τη </w:t>
      </w:r>
      <w:r w:rsidR="00175E02">
        <w:rPr>
          <w:b/>
          <w:bCs/>
          <w:lang w:val="el-GR"/>
        </w:rPr>
        <w:t>Δράση 2</w:t>
      </w:r>
      <w:r w:rsidR="00175E02">
        <w:rPr>
          <w:lang w:val="el-GR"/>
        </w:rPr>
        <w:t xml:space="preserve"> «Ο</w:t>
      </w:r>
      <w:r w:rsidR="00175E02">
        <w:rPr>
          <w:rStyle w:val="a5"/>
          <w:rFonts w:ascii="Calibri" w:hAnsi="Calibri" w:cs="Calibri"/>
          <w:b w:val="0"/>
          <w:bCs w:val="0"/>
          <w:lang w:val="el-GR"/>
        </w:rPr>
        <w:t>λοκληρωμένο σχέδιο παρέμβασης για τη στήριξη των επιχειρήσεων και των εργαζομένων τους μέσω δράσεων συμβουλευτικής, κατάρτισης και παροχής κινήτρων</w:t>
      </w:r>
      <w:r w:rsidR="00175E02" w:rsidRPr="00904680">
        <w:rPr>
          <w:rStyle w:val="a5"/>
          <w:rFonts w:ascii="Calibri" w:hAnsi="Calibri" w:cs="Calibri"/>
          <w:b w:val="0"/>
          <w:bCs w:val="0"/>
          <w:lang w:val="el-GR"/>
        </w:rPr>
        <w:t>»,</w:t>
      </w:r>
      <w:r w:rsidR="00175E02" w:rsidRPr="00904680">
        <w:rPr>
          <w:lang w:val="el-GR"/>
        </w:rPr>
        <w:t xml:space="preserve"> μ</w:t>
      </w:r>
      <w:r w:rsidR="00175E02" w:rsidRPr="00904680">
        <w:rPr>
          <w:rStyle w:val="a5"/>
          <w:rFonts w:ascii="Calibri" w:hAnsi="Calibri" w:cs="Calibri"/>
          <w:b w:val="0"/>
          <w:bCs w:val="0"/>
          <w:lang w:val="el-GR"/>
        </w:rPr>
        <w:t xml:space="preserve">ε </w:t>
      </w:r>
      <w:r w:rsidR="00175E02" w:rsidRPr="00904680">
        <w:rPr>
          <w:lang w:val="el-GR"/>
        </w:rPr>
        <w:t>στόχο την κατάρτιση των εργαζομένων 250 επιχειρήσεων.</w:t>
      </w:r>
    </w:p>
    <w:p w:rsidR="007938F3" w:rsidRPr="00904680" w:rsidRDefault="007938F3" w:rsidP="007938F3">
      <w:pPr>
        <w:pStyle w:val="as"/>
        <w:spacing w:after="120" w:line="360" w:lineRule="exact"/>
        <w:jc w:val="both"/>
        <w:rPr>
          <w:rFonts w:asciiTheme="minorHAnsi" w:hAnsiTheme="minorHAnsi"/>
          <w:color w:val="000000"/>
          <w:sz w:val="22"/>
          <w:szCs w:val="22"/>
          <w:lang w:val="el-GR"/>
        </w:rPr>
      </w:pPr>
      <w:r w:rsidRPr="00904680">
        <w:rPr>
          <w:rFonts w:asciiTheme="minorHAnsi" w:hAnsiTheme="minorHAnsi"/>
          <w:color w:val="000000"/>
          <w:sz w:val="22"/>
          <w:szCs w:val="22"/>
          <w:lang w:val="el-GR"/>
        </w:rPr>
        <w:t xml:space="preserve">Οι δύο Δράσεις του Προγράμματος συνδέονται άμεσα με τους στόχους τόσο του ΕΚΤ, όσο και του ΕΠΕΑΑ, επιδιώκοντας: </w:t>
      </w:r>
    </w:p>
    <w:p w:rsidR="007938F3" w:rsidRPr="00904680" w:rsidRDefault="007938F3" w:rsidP="007938F3">
      <w:pPr>
        <w:pStyle w:val="as"/>
        <w:numPr>
          <w:ilvl w:val="0"/>
          <w:numId w:val="15"/>
        </w:numPr>
        <w:spacing w:after="120" w:line="360" w:lineRule="exact"/>
        <w:jc w:val="both"/>
        <w:rPr>
          <w:rFonts w:asciiTheme="minorHAnsi" w:hAnsiTheme="minorHAnsi" w:cs="Verdana"/>
          <w:sz w:val="22"/>
          <w:szCs w:val="22"/>
          <w:lang w:val="el-GR"/>
        </w:rPr>
      </w:pPr>
      <w:r w:rsidRPr="00904680">
        <w:rPr>
          <w:rFonts w:asciiTheme="minorHAnsi" w:hAnsiTheme="minorHAnsi"/>
          <w:color w:val="000000"/>
          <w:sz w:val="22"/>
          <w:szCs w:val="22"/>
          <w:lang w:val="el-GR"/>
        </w:rPr>
        <w:t xml:space="preserve">αφενός την </w:t>
      </w:r>
      <w:r w:rsidRPr="00904680">
        <w:rPr>
          <w:rFonts w:asciiTheme="minorHAnsi" w:hAnsiTheme="minorHAnsi"/>
          <w:b/>
          <w:color w:val="000000"/>
          <w:sz w:val="22"/>
          <w:szCs w:val="22"/>
          <w:lang w:val="el-GR"/>
        </w:rPr>
        <w:t>προώθηση της επιχειρηματικότητας</w:t>
      </w:r>
      <w:r w:rsidRPr="00904680">
        <w:rPr>
          <w:rFonts w:asciiTheme="minorHAnsi" w:hAnsiTheme="minorHAnsi"/>
          <w:color w:val="000000"/>
          <w:sz w:val="22"/>
          <w:szCs w:val="22"/>
          <w:lang w:val="el-GR"/>
        </w:rPr>
        <w:t xml:space="preserve"> μέσω </w:t>
      </w:r>
      <w:r w:rsidRPr="00904680">
        <w:rPr>
          <w:rFonts w:asciiTheme="minorHAnsi" w:hAnsiTheme="minorHAnsi" w:cs="Verdana"/>
          <w:sz w:val="22"/>
          <w:szCs w:val="22"/>
          <w:lang w:val="el-GR"/>
        </w:rPr>
        <w:t xml:space="preserve">της ενίσχυσης πρωτοβουλιών επιχειρηματικής δραστηριοποίησης μικρής κλίμακας από τους ανέργους, σε ένα ευρύ φάσμα οικονομικών δραστηριοτήτων, καθώς και την </w:t>
      </w:r>
      <w:r w:rsidRPr="00904680">
        <w:rPr>
          <w:rFonts w:asciiTheme="minorHAnsi" w:hAnsiTheme="minorHAnsi"/>
          <w:color w:val="000000"/>
          <w:sz w:val="22"/>
          <w:szCs w:val="22"/>
          <w:lang w:val="el-GR"/>
        </w:rPr>
        <w:t xml:space="preserve">ενδυνάμωση </w:t>
      </w:r>
      <w:r w:rsidRPr="00904680">
        <w:rPr>
          <w:rFonts w:asciiTheme="minorHAnsi" w:hAnsiTheme="minorHAnsi"/>
          <w:sz w:val="22"/>
          <w:szCs w:val="22"/>
          <w:lang w:val="el-GR"/>
        </w:rPr>
        <w:t xml:space="preserve">υφιστάμενων </w:t>
      </w:r>
      <w:r w:rsidRPr="00904680">
        <w:rPr>
          <w:rStyle w:val="a5"/>
          <w:rFonts w:asciiTheme="minorHAnsi" w:hAnsiTheme="minorHAnsi" w:cs="Calibri"/>
          <w:b w:val="0"/>
          <w:bCs w:val="0"/>
          <w:sz w:val="22"/>
          <w:szCs w:val="22"/>
          <w:lang w:val="el-GR"/>
        </w:rPr>
        <w:t>επιχειρήσεων και των εργαζομένων τους μέσω δράσεων συμβουλευτικής, κατάρτισης και παροχής κινήτρων,</w:t>
      </w:r>
      <w:r w:rsidRPr="00904680">
        <w:rPr>
          <w:rFonts w:asciiTheme="minorHAnsi" w:hAnsiTheme="minorHAnsi" w:cs="Verdana"/>
          <w:sz w:val="22"/>
          <w:szCs w:val="22"/>
          <w:lang w:val="el-GR"/>
        </w:rPr>
        <w:t xml:space="preserve"> και</w:t>
      </w:r>
    </w:p>
    <w:p w:rsidR="007938F3" w:rsidRPr="00904680" w:rsidRDefault="007938F3" w:rsidP="007938F3">
      <w:pPr>
        <w:pStyle w:val="as"/>
        <w:numPr>
          <w:ilvl w:val="0"/>
          <w:numId w:val="15"/>
        </w:numPr>
        <w:spacing w:after="120" w:line="360" w:lineRule="exact"/>
        <w:jc w:val="both"/>
        <w:rPr>
          <w:rFonts w:asciiTheme="minorHAnsi" w:hAnsiTheme="minorHAnsi" w:cs="Verdana"/>
          <w:sz w:val="22"/>
          <w:szCs w:val="22"/>
          <w:lang w:val="el-GR"/>
        </w:rPr>
      </w:pPr>
      <w:r w:rsidRPr="00904680">
        <w:rPr>
          <w:rFonts w:asciiTheme="minorHAnsi" w:hAnsiTheme="minorHAnsi" w:cs="Verdana"/>
          <w:sz w:val="22"/>
          <w:szCs w:val="22"/>
          <w:lang w:val="el-GR"/>
        </w:rPr>
        <w:t xml:space="preserve">αφετέρου την </w:t>
      </w:r>
      <w:r w:rsidRPr="00904680">
        <w:rPr>
          <w:rFonts w:asciiTheme="minorHAnsi" w:hAnsiTheme="minorHAnsi" w:cs="Verdana"/>
          <w:b/>
          <w:sz w:val="22"/>
          <w:szCs w:val="22"/>
          <w:lang w:val="el-GR"/>
        </w:rPr>
        <w:t>τόνωση της απασχόλησης</w:t>
      </w:r>
      <w:r w:rsidRPr="00904680">
        <w:rPr>
          <w:rFonts w:asciiTheme="minorHAnsi" w:hAnsiTheme="minorHAnsi" w:cs="Verdana"/>
          <w:sz w:val="22"/>
          <w:szCs w:val="22"/>
          <w:lang w:val="el-GR"/>
        </w:rPr>
        <w:t xml:space="preserve"> μέσω της δημιουργίας ευκαιριών </w:t>
      </w:r>
      <w:proofErr w:type="spellStart"/>
      <w:r w:rsidRPr="00904680">
        <w:rPr>
          <w:rFonts w:asciiTheme="minorHAnsi" w:hAnsiTheme="minorHAnsi" w:cs="Verdana"/>
          <w:sz w:val="22"/>
          <w:szCs w:val="22"/>
          <w:lang w:val="el-GR"/>
        </w:rPr>
        <w:t>αυτοαπασχόλησης</w:t>
      </w:r>
      <w:proofErr w:type="spellEnd"/>
      <w:r w:rsidRPr="00904680">
        <w:rPr>
          <w:rFonts w:asciiTheme="minorHAnsi" w:hAnsiTheme="minorHAnsi" w:cs="Verdana"/>
          <w:sz w:val="22"/>
          <w:szCs w:val="22"/>
          <w:lang w:val="el-GR"/>
        </w:rPr>
        <w:t>, τη δημιουργία νέων και καλύτερων θέσεων εργασίας, την προστασία υφιστάμενων θέσεων εργασίας, καθώς και</w:t>
      </w:r>
      <w:r w:rsidRPr="00904680">
        <w:rPr>
          <w:rFonts w:asciiTheme="minorHAnsi" w:hAnsiTheme="minorHAnsi"/>
          <w:sz w:val="22"/>
          <w:szCs w:val="22"/>
          <w:lang w:val="el-GR"/>
        </w:rPr>
        <w:t xml:space="preserve"> τη </w:t>
      </w:r>
      <w:r w:rsidRPr="00904680">
        <w:rPr>
          <w:rFonts w:asciiTheme="minorHAnsi" w:hAnsiTheme="minorHAnsi" w:cs="Verdana"/>
          <w:sz w:val="22"/>
          <w:szCs w:val="22"/>
          <w:lang w:val="el-GR"/>
        </w:rPr>
        <w:t>βελτίωση της ποιότητας και της παραγωγικότητας στο χώρο εργασίας.</w:t>
      </w:r>
    </w:p>
    <w:p w:rsidR="00175E02" w:rsidRDefault="00175E02">
      <w:pPr>
        <w:spacing w:after="120" w:line="360" w:lineRule="exact"/>
        <w:rPr>
          <w:rFonts w:ascii="Times New Roman" w:hAnsi="Times New Roman" w:cs="Times New Roman"/>
          <w:lang w:val="el-GR"/>
        </w:rPr>
      </w:pPr>
      <w:r w:rsidRPr="00904680">
        <w:rPr>
          <w:lang w:val="el-GR"/>
        </w:rPr>
        <w:t>Το παραδοτέα 1Β και 1Γ  της ενδιάμεσης αξιολόγησης αφορούν στη συγκέντρωση και επεξεργασία στοιχείων φυσικού και οικονομικού αντικειμένου των επιχειρηματικών σχεδίων που υποβλήθηκαν και εντάχθηκαν στο πλαίσιο των δύο Δράσεων, καθώς και στην</w:t>
      </w:r>
      <w:r>
        <w:rPr>
          <w:lang w:val="el-GR"/>
        </w:rPr>
        <w:t xml:space="preserve"> αποτίμηση της εξέλιξης του προγράμματος κατά τους πρώτους μήνες εφαρμογής του, μέσω της διενέργειας συνεντεύξεων με επιλεγμένους φορείς με σκοπό τη συγκέντρωση ποιοτικών πληροφοριών και συμπερασμάτων.</w:t>
      </w:r>
    </w:p>
    <w:p w:rsidR="00175E02" w:rsidRDefault="00175E02">
      <w:pPr>
        <w:spacing w:after="120" w:line="360" w:lineRule="exact"/>
        <w:rPr>
          <w:rFonts w:ascii="Times New Roman" w:hAnsi="Times New Roman" w:cs="Times New Roman"/>
          <w:lang w:val="el-GR"/>
        </w:rPr>
      </w:pPr>
      <w:r>
        <w:rPr>
          <w:lang w:val="el-GR"/>
        </w:rPr>
        <w:t xml:space="preserve">Στις δύο Δράσεις του Προγράμματος υποβλήθηκαν συνολικά </w:t>
      </w:r>
      <w:r>
        <w:rPr>
          <w:b/>
          <w:bCs/>
          <w:lang w:val="el-GR"/>
        </w:rPr>
        <w:t>6.356 προτάσεις</w:t>
      </w:r>
      <w:r>
        <w:rPr>
          <w:lang w:val="el-GR"/>
        </w:rPr>
        <w:t xml:space="preserve">, εκ των οποίων οι 5.365 στο πλαίσιο της Δράσης 1 και 991 στο πλαίσιο της Δράσης 2. Το 65% των προτάσεων στη Δράση 1 αφορούσε υπό σύσταση επιχειρήσεις και το 35% νεοϊδρυθείσες επιχειρήσεις, ενώ επιλέξιμες στη Δράση 2 ήταν αποκλειστικά υφιστάμενες επιχειρήσεις. Ο αριθμός των προτάσεων </w:t>
      </w:r>
      <w:r>
        <w:rPr>
          <w:lang w:val="el-GR"/>
        </w:rPr>
        <w:lastRenderedPageBreak/>
        <w:t xml:space="preserve">που υποβλήθηκαν, σε συνδυασμό με τις εκτιμήσεις εμπλεκόμενων φορέων, αντανακλά την  μεγάλη αποδοχή του προγράμματος μεταξύ των δυνητικά ωφελούμενων (άνεργοι και νέοι επιχειρηματίες). </w:t>
      </w:r>
    </w:p>
    <w:p w:rsidR="00175E02" w:rsidRDefault="00175E02">
      <w:pPr>
        <w:tabs>
          <w:tab w:val="left" w:pos="3420"/>
        </w:tabs>
        <w:spacing w:after="120" w:line="360" w:lineRule="exact"/>
        <w:rPr>
          <w:rFonts w:ascii="Times New Roman" w:hAnsi="Times New Roman" w:cs="Times New Roman"/>
          <w:lang w:val="el-GR"/>
        </w:rPr>
      </w:pPr>
      <w:r>
        <w:rPr>
          <w:lang w:val="el-GR"/>
        </w:rPr>
        <w:t>Από το σύνολο των προτάσεων που υποβλήθηκαν, το 11% απορρίφθηκε κατά το στάδιο της αξιολόγησης και το 34% απεντάχθηκε. Το ποσοστό των προτάσεων που απορρίφθηκαν ήταν σαφώς μεγαλύτερο στην περίπτωση της Δράσης 2 (18%) συγκριτικά με τη Δράση 1 (9%), ενώ αντίθετα των απεντάξεων μεγαλύτερο για τη Δράση 1 (34%) σε σχέση με τη Δράση 2 (29%).</w:t>
      </w:r>
    </w:p>
    <w:p w:rsidR="00175E02" w:rsidRDefault="00175E02">
      <w:pPr>
        <w:spacing w:after="120" w:line="360" w:lineRule="exact"/>
        <w:rPr>
          <w:rFonts w:ascii="Times New Roman" w:hAnsi="Times New Roman" w:cs="Times New Roman"/>
          <w:lang w:val="el-GR"/>
        </w:rPr>
      </w:pPr>
      <w:r>
        <w:rPr>
          <w:lang w:val="el-GR"/>
        </w:rPr>
        <w:t xml:space="preserve">Βασικές αιτίες </w:t>
      </w:r>
      <w:r>
        <w:rPr>
          <w:b/>
          <w:bCs/>
          <w:lang w:val="el-GR"/>
        </w:rPr>
        <w:t>απόρριψης</w:t>
      </w:r>
      <w:r>
        <w:rPr>
          <w:lang w:val="el-GR"/>
        </w:rPr>
        <w:t xml:space="preserve"> προτάσεων υπήρξαν αφενός η μη ικανοποίηση τυπικών προϋποθέσεων επιλεξιμότητας (π.χ. προϋπολογισμός μικρότερος από το ελάχιστο όριο, κυρίως κατόπιν της περικοπής μη επιλέξιμων δαπανών, επιλογή μη επιλέξιμου ΚΑΔ, αιτούντες δεν πληρούσαν την ιδιότητα του ανέργου)</w:t>
      </w:r>
      <w:r>
        <w:rPr>
          <w:rFonts w:ascii="Times New Roman" w:hAnsi="Times New Roman" w:cs="Times New Roman"/>
          <w:lang w:val="el-GR"/>
        </w:rPr>
        <w:t>,</w:t>
      </w:r>
      <w:r>
        <w:rPr>
          <w:lang w:val="el-GR"/>
        </w:rPr>
        <w:t xml:space="preserve"> και αφετέρου η βαθμολογία της πρότασης κάτω από το ελάχιστο όριο. Ειδικά στην περίπτωση των προτάσεων που υποβλήθηκαν στο πλαίσιο της Δράσης 2, το 96% απορρίφθηκε λόγω μη συγκέντρωσης του ελάχιστου ορίου βαθμολογίας των κριτηρίων.  </w:t>
      </w:r>
    </w:p>
    <w:p w:rsidR="00175E02" w:rsidRDefault="00175E02">
      <w:pPr>
        <w:spacing w:after="120" w:line="360" w:lineRule="exact"/>
        <w:rPr>
          <w:rFonts w:ascii="Times New Roman" w:hAnsi="Times New Roman" w:cs="Times New Roman"/>
          <w:lang w:val="el-GR"/>
        </w:rPr>
      </w:pPr>
      <w:r>
        <w:rPr>
          <w:lang w:val="el-GR"/>
        </w:rPr>
        <w:t xml:space="preserve">Ως βασικές αιτίες </w:t>
      </w:r>
      <w:r>
        <w:rPr>
          <w:b/>
          <w:bCs/>
          <w:lang w:val="el-GR"/>
        </w:rPr>
        <w:t>απένταξης</w:t>
      </w:r>
      <w:r>
        <w:rPr>
          <w:lang w:val="el-GR"/>
        </w:rPr>
        <w:t xml:space="preserve"> αρχικά ενταγμένων προτάσεων προκύπτουν η μη προσκόμιση των δικαιολογητικών υποβολής εντός της προβλεπόμενης προθεσμίας, καθώς και η έλλειψη ή μη ορθότητα των προσκομισθέντων δικαιολογητικών, από τα οποία προέκυπτε τελικά η μη επιλεξιμότητα των δικαιούχων / προτάσεων (π.χ. έλλειψη κάρτας ανεργίας, δήλωση έναρξης στη Δ.Ο.Υ</w:t>
      </w:r>
      <w:r>
        <w:rPr>
          <w:rFonts w:ascii="Times New Roman" w:hAnsi="Times New Roman" w:cs="Times New Roman"/>
          <w:lang w:val="el-GR"/>
        </w:rPr>
        <w:t>.</w:t>
      </w:r>
      <w:r>
        <w:rPr>
          <w:lang w:val="el-GR"/>
        </w:rPr>
        <w:t xml:space="preserve"> σε μη επιλέξιμο ΚΑΔ, μη δημιουργία της νέας θέσης εργασίας). Από την επεξεργασία των στοιχείων προκύπτει επίσης ότι σημαντικά μεγαλύτερο ήταν το ποσοστό των υπό σύσταση επιχειρήσεων που δεν προσκόμισαν καθόλου φάκελο δικαιολογητικών, γεγονός που μπορεί να ερμηνευτεί ως αδυναμία αυτής της κατηγορίας των δικαιούχων να ολοκληρώσουν τις απαιτούμενες διαδικασίες σύστασης της επιχείρησης εντός της προβλεπόμενης προθεσμίας ή / και που εγκατέλειπαν την προσπάθεια καθώς διαπίστωναν τις υποχρεώσεις που συνδέονταν με το επιχειρηματικό εγχείρημα (ανάγκη προεξόφλησης των δαπανών, διατήρηση της νέας θέσης εργασίας), ή επειδή είχαν υποβάλλει αίτηση χωρίς να έχουν κάποιο επεξεργασμένο σχέδιο για την επιχειρηματική τους δραστηριότητα. Πολλοί δυνητικά ωφελούμενοι φαίνεται όμως να αντιμετώπισαν δυσκολίες έκδοσης των απαιτούμενων δικαιολογητικών χωρίς δική τους υπαιτιότητα, αλλά επειδή η αρμόδια υπηρεσία καθυστερούσε την έκδοση τους. </w:t>
      </w:r>
    </w:p>
    <w:p w:rsidR="00175E02" w:rsidRDefault="00175E02">
      <w:pPr>
        <w:spacing w:after="120" w:line="360" w:lineRule="exact"/>
        <w:rPr>
          <w:rFonts w:ascii="Times New Roman" w:hAnsi="Times New Roman" w:cs="Times New Roman"/>
          <w:lang w:val="el-GR"/>
        </w:rPr>
      </w:pPr>
      <w:r>
        <w:rPr>
          <w:lang w:val="el-GR"/>
        </w:rPr>
        <w:t>Σε ελάχιστες περιπτώσεις ως αιτία απένταξης αναφέρθηκε η μη τήρηση των εθνικών και κοινοτικών κανόνων που αφορούν κρατικές ενισχύσεις</w:t>
      </w:r>
      <w:r>
        <w:t xml:space="preserve">, </w:t>
      </w:r>
      <w:r>
        <w:rPr>
          <w:lang w:val="el-GR"/>
        </w:rPr>
        <w:t xml:space="preserve">π.χ. η εφαρμογή του κανονισμού </w:t>
      </w:r>
      <w:r>
        <w:t>de</w:t>
      </w:r>
      <w:r>
        <w:rPr>
          <w:lang w:val="el-GR"/>
        </w:rPr>
        <w:t xml:space="preserve"> </w:t>
      </w:r>
      <w:proofErr w:type="spellStart"/>
      <w:r>
        <w:t>minimis</w:t>
      </w:r>
      <w:proofErr w:type="spellEnd"/>
      <w:r>
        <w:rPr>
          <w:lang w:val="el-GR"/>
        </w:rPr>
        <w:t xml:space="preserve"> για τη μέγιστη δυνατή ενίσχυση μιας επιχείρησης εντός μιας τριετίας, ο οποίος κατά τα άλλα κρίθηκε ότι παρείχε αρκετή ευελιξία στο σχεδιασμό και την υλοποίηση δράσεων ενίσχυσης αυτής της μορφής (ενίσχυση της </w:t>
      </w:r>
      <w:proofErr w:type="spellStart"/>
      <w:r>
        <w:rPr>
          <w:lang w:val="el-GR"/>
        </w:rPr>
        <w:t>μικρο</w:t>
      </w:r>
      <w:proofErr w:type="spellEnd"/>
      <w:r>
        <w:rPr>
          <w:lang w:val="el-GR"/>
        </w:rPr>
        <w:t xml:space="preserve">-επιχειρηματικότητας, με περιορισμένο ύψος επιχορήγησης και χρηματοδότηση 100% των επιλέξιμων δαπανών) και ουσιαστικά αφορούσε μόνο τις υφιστάμενες επιχειρήσεις που ενισχύθηκαν στο πλαίσιο της Δράσης 2. </w:t>
      </w:r>
    </w:p>
    <w:p w:rsidR="00175E02" w:rsidRDefault="00175E02">
      <w:pPr>
        <w:spacing w:after="120" w:line="360" w:lineRule="exact"/>
        <w:rPr>
          <w:rFonts w:ascii="Times New Roman" w:hAnsi="Times New Roman" w:cs="Times New Roman"/>
          <w:lang w:val="el-GR"/>
        </w:rPr>
      </w:pPr>
      <w:r>
        <w:rPr>
          <w:lang w:val="el-GR"/>
        </w:rPr>
        <w:lastRenderedPageBreak/>
        <w:t xml:space="preserve">Στις δύο Δράσεις του Προγράμματος ολοκληρώθηκε τελικά η </w:t>
      </w:r>
      <w:r>
        <w:rPr>
          <w:b/>
          <w:bCs/>
          <w:lang w:val="el-GR"/>
        </w:rPr>
        <w:t>ένταξη</w:t>
      </w:r>
      <w:r>
        <w:rPr>
          <w:lang w:val="el-GR"/>
        </w:rPr>
        <w:t xml:space="preserve"> 3.547 προτάσεων, με πρόβλεψη δημιουργίας 3.330 θέσεων εργασίας (ΕΜΕ)</w:t>
      </w:r>
      <w:r>
        <w:rPr>
          <w:rStyle w:val="ac"/>
          <w:lang w:val="el-GR"/>
        </w:rPr>
        <w:footnoteReference w:id="1"/>
      </w:r>
      <w:r>
        <w:rPr>
          <w:rFonts w:ascii="Times New Roman" w:hAnsi="Times New Roman" w:cs="Times New Roman"/>
          <w:lang w:val="el-GR"/>
        </w:rPr>
        <w:t>.</w:t>
      </w:r>
      <w:r>
        <w:rPr>
          <w:lang w:val="el-GR"/>
        </w:rPr>
        <w:t xml:space="preserve"> Σε απόλυτους αριθμούς, η πλειοψηφία των ενταγμένων προτάσεων αφορά σε υπό σύσταση επιχειρήσεις (1.672), αφού οι εντάξεις της κατηγορίας αυτής ξεπέρασαν αυτές των νεοϊδρυθεισών εταιριών (1.348) και των υφιστάμενων της Δράσης 2 (527). </w:t>
      </w:r>
    </w:p>
    <w:p w:rsidR="00175E02" w:rsidRDefault="00175E02">
      <w:pPr>
        <w:spacing w:after="120" w:line="360" w:lineRule="exact"/>
        <w:rPr>
          <w:rFonts w:ascii="Times New Roman" w:hAnsi="Times New Roman" w:cs="Times New Roman"/>
          <w:lang w:val="el-GR"/>
        </w:rPr>
      </w:pPr>
      <w:r>
        <w:rPr>
          <w:lang w:val="el-GR"/>
        </w:rPr>
        <w:t>Ειδικά για τη Δράση 1, το μέσο προφίλ των ατόμων – εταίρων των νεοϊδρυθεισών και υπό σύσταση επιχειρήσεων χαρακτηρίζεται από την επικράτηση νέων 25-34 ετών, ανδρών, με εργασιακή εμπειρία μέχρι 5 ετών και ανώτατου εκπαιδευτικού επιπέδου. Αντίθετα λιγότερο ευνοημένες υπήρξαν οι ομάδες των γυναικών, των ηλικιακών ομάδων άνω των 34 ετών, καθώς και των μη εχόντων εργασιακή εμπειρία, παράλληλα με τους έχοντες άνω των δέκα ετών.</w:t>
      </w:r>
    </w:p>
    <w:p w:rsidR="00175E02" w:rsidRDefault="00175E02">
      <w:pPr>
        <w:spacing w:after="120" w:line="360" w:lineRule="exact"/>
        <w:rPr>
          <w:rFonts w:ascii="Times New Roman" w:hAnsi="Times New Roman" w:cs="Times New Roman"/>
          <w:lang w:val="el-GR"/>
        </w:rPr>
      </w:pPr>
      <w:r>
        <w:rPr>
          <w:lang w:val="el-GR"/>
        </w:rPr>
        <w:t xml:space="preserve">Τα αποτελέσματα αυτά αντανακλούν τη διαπίστωση ότι η παρέμβαση εκπληρώνει σε σημαντικό βαθμό τον </w:t>
      </w:r>
      <w:r>
        <w:rPr>
          <w:b/>
          <w:bCs/>
          <w:lang w:val="el-GR"/>
        </w:rPr>
        <w:t>στόχο</w:t>
      </w:r>
      <w:r>
        <w:rPr>
          <w:lang w:val="el-GR"/>
        </w:rPr>
        <w:t xml:space="preserve"> της για την αντιμετώπιση του σοβαρού προβλήματος ανεργίας – κυρίως μεταξύ της ηλικιακής ομάδας των 25-34 ετών – με τρεις κυρίως τρόπους.</w:t>
      </w:r>
    </w:p>
    <w:p w:rsidR="00175E02" w:rsidRDefault="00175E02">
      <w:pPr>
        <w:pStyle w:val="ad"/>
        <w:numPr>
          <w:ilvl w:val="0"/>
          <w:numId w:val="11"/>
        </w:numPr>
        <w:spacing w:after="120" w:line="360" w:lineRule="exact"/>
        <w:ind w:right="-58"/>
        <w:rPr>
          <w:lang w:val="el-GR"/>
        </w:rPr>
      </w:pPr>
      <w:r>
        <w:rPr>
          <w:lang w:val="el-GR"/>
        </w:rPr>
        <w:t xml:space="preserve">τη δημιουργία ευκαιριών </w:t>
      </w:r>
      <w:proofErr w:type="spellStart"/>
      <w:r>
        <w:rPr>
          <w:lang w:val="el-GR"/>
        </w:rPr>
        <w:t>αυτοαπασχόλησης</w:t>
      </w:r>
      <w:proofErr w:type="spellEnd"/>
      <w:r>
        <w:rPr>
          <w:lang w:val="el-GR"/>
        </w:rPr>
        <w:t xml:space="preserve"> ανέργων μέσα από την ενθάρρυνσή τους και την παροχή βοήθειας προκειμένου να αναλάβουν επιχειρηματική δράση, </w:t>
      </w:r>
    </w:p>
    <w:p w:rsidR="00175E02" w:rsidRDefault="00175E02">
      <w:pPr>
        <w:pStyle w:val="ad"/>
        <w:numPr>
          <w:ilvl w:val="0"/>
          <w:numId w:val="11"/>
        </w:numPr>
        <w:spacing w:after="120" w:line="360" w:lineRule="exact"/>
        <w:ind w:right="-58"/>
        <w:rPr>
          <w:rFonts w:ascii="Times New Roman" w:hAnsi="Times New Roman" w:cs="Times New Roman"/>
          <w:lang w:val="el-GR"/>
        </w:rPr>
      </w:pPr>
      <w:r>
        <w:rPr>
          <w:rStyle w:val="st"/>
          <w:rFonts w:ascii="Calibri" w:hAnsi="Calibri" w:cs="Calibri"/>
          <w:lang w:val="el-GR"/>
        </w:rPr>
        <w:t>την ενίσχυση της δημιουργίας νέων θέσεων απασχόλησης στις νεοϊδρυόμενες επιχειρήσεις,</w:t>
      </w:r>
    </w:p>
    <w:p w:rsidR="00175E02" w:rsidRDefault="00175E02">
      <w:pPr>
        <w:pStyle w:val="ad"/>
        <w:numPr>
          <w:ilvl w:val="0"/>
          <w:numId w:val="11"/>
        </w:numPr>
        <w:spacing w:after="120" w:line="360" w:lineRule="exact"/>
        <w:ind w:right="-58"/>
        <w:rPr>
          <w:rFonts w:ascii="Times New Roman" w:hAnsi="Times New Roman" w:cs="Times New Roman"/>
          <w:lang w:val="el-GR"/>
        </w:rPr>
      </w:pPr>
      <w:r>
        <w:rPr>
          <w:lang w:val="el-GR"/>
        </w:rPr>
        <w:t xml:space="preserve">την </w:t>
      </w:r>
      <w:r>
        <w:rPr>
          <w:rStyle w:val="st"/>
          <w:rFonts w:ascii="Calibri" w:hAnsi="Calibri" w:cs="Calibri"/>
          <w:lang w:val="el-GR"/>
        </w:rPr>
        <w:t xml:space="preserve">ενίσχυση της παραγωγικότητας και βιωσιμότητας </w:t>
      </w:r>
      <w:r>
        <w:rPr>
          <w:lang w:val="el-GR"/>
        </w:rPr>
        <w:t xml:space="preserve">υφιστάμενων </w:t>
      </w:r>
      <w:r>
        <w:rPr>
          <w:rStyle w:val="st"/>
          <w:rFonts w:ascii="Calibri" w:hAnsi="Calibri" w:cs="Calibri"/>
          <w:lang w:val="el-GR"/>
        </w:rPr>
        <w:t xml:space="preserve">επιχειρήσεων, και κατά συνέπεια τη διατήρηση </w:t>
      </w:r>
      <w:r>
        <w:rPr>
          <w:lang w:val="el-GR"/>
        </w:rPr>
        <w:t xml:space="preserve">υφιστάμενων </w:t>
      </w:r>
      <w:r>
        <w:rPr>
          <w:rStyle w:val="st"/>
          <w:rFonts w:ascii="Calibri" w:hAnsi="Calibri" w:cs="Calibri"/>
          <w:lang w:val="el-GR"/>
        </w:rPr>
        <w:t>θέσεων εργασίας, μέσω της κατάρτισης των απασχολούμενων στις ενισχυόμενες επιχειρήσεις</w:t>
      </w:r>
      <w:r>
        <w:rPr>
          <w:rFonts w:ascii="Times New Roman" w:hAnsi="Times New Roman" w:cs="Times New Roman"/>
          <w:lang w:val="el-GR"/>
        </w:rPr>
        <w:t>.</w:t>
      </w:r>
    </w:p>
    <w:p w:rsidR="00175E02" w:rsidRDefault="00175E02">
      <w:pPr>
        <w:spacing w:after="120" w:line="360" w:lineRule="exact"/>
        <w:ind w:right="-58"/>
        <w:rPr>
          <w:rStyle w:val="st"/>
          <w:lang w:val="el-GR"/>
        </w:rPr>
      </w:pPr>
      <w:r>
        <w:rPr>
          <w:lang w:val="el-GR"/>
        </w:rPr>
        <w:t xml:space="preserve">Η στόχοι και η στρατηγική της παρέμβασης παραμένουν δε επίκαιροι καθώς η </w:t>
      </w:r>
      <w:r>
        <w:rPr>
          <w:rStyle w:val="st"/>
          <w:rFonts w:ascii="Calibri" w:hAnsi="Calibri" w:cs="Calibri"/>
          <w:lang w:val="el-GR"/>
        </w:rPr>
        <w:t xml:space="preserve">ανεργία στην Ελλάδα συνεχίζει να διογκώνεται δραματικά και να στερεί τη δυνατότητα απασχόλησης νέων και δημιουργικών ανθρώπων. </w:t>
      </w:r>
    </w:p>
    <w:p w:rsidR="00175E02" w:rsidRDefault="00175E02">
      <w:pPr>
        <w:spacing w:after="120" w:line="360" w:lineRule="exact"/>
        <w:rPr>
          <w:rFonts w:ascii="Times New Roman" w:hAnsi="Times New Roman" w:cs="Times New Roman"/>
          <w:lang w:val="el-GR"/>
        </w:rPr>
      </w:pPr>
      <w:r>
        <w:rPr>
          <w:lang w:val="el-GR"/>
        </w:rPr>
        <w:t xml:space="preserve">Σχεδόν στα δύο τρίτα (65%) των προτάσεων δηλώνεται ως </w:t>
      </w:r>
      <w:r>
        <w:rPr>
          <w:b/>
          <w:bCs/>
          <w:lang w:val="el-GR"/>
        </w:rPr>
        <w:t>γεωγραφική έδρα</w:t>
      </w:r>
      <w:r>
        <w:rPr>
          <w:lang w:val="el-GR"/>
        </w:rPr>
        <w:t xml:space="preserve"> των νεοϊδρυθεισών</w:t>
      </w:r>
      <w:r>
        <w:rPr>
          <w:rFonts w:ascii="Times New Roman" w:hAnsi="Times New Roman" w:cs="Times New Roman"/>
          <w:lang w:val="el-GR"/>
        </w:rPr>
        <w:t>,</w:t>
      </w:r>
      <w:r>
        <w:rPr>
          <w:lang w:val="el-GR"/>
        </w:rPr>
        <w:t xml:space="preserve"> υπό σύσταση ή υφιστάμενων επιχειρήσεων οι Περιφέρειες της Αττικής</w:t>
      </w:r>
      <w:r>
        <w:rPr>
          <w:rFonts w:ascii="Times New Roman" w:hAnsi="Times New Roman" w:cs="Times New Roman"/>
          <w:lang w:val="el-GR"/>
        </w:rPr>
        <w:t>,</w:t>
      </w:r>
      <w:r>
        <w:rPr>
          <w:lang w:val="el-GR"/>
        </w:rPr>
        <w:t xml:space="preserve"> της Κεντρικής Μακεδονίας και της Κρήτης</w:t>
      </w:r>
      <w:r>
        <w:rPr>
          <w:rFonts w:ascii="Times New Roman" w:hAnsi="Times New Roman" w:cs="Times New Roman"/>
          <w:lang w:val="el-GR"/>
        </w:rPr>
        <w:t>.</w:t>
      </w:r>
      <w:r>
        <w:rPr>
          <w:lang w:val="el-GR"/>
        </w:rPr>
        <w:t xml:space="preserve"> </w:t>
      </w:r>
    </w:p>
    <w:p w:rsidR="00175E02" w:rsidRDefault="00175E02">
      <w:pPr>
        <w:spacing w:after="120" w:line="360" w:lineRule="exact"/>
        <w:rPr>
          <w:rFonts w:ascii="Times New Roman" w:hAnsi="Times New Roman" w:cs="Times New Roman"/>
          <w:lang w:val="el-GR"/>
        </w:rPr>
      </w:pPr>
      <w:r>
        <w:rPr>
          <w:lang w:val="el-GR"/>
        </w:rPr>
        <w:t xml:space="preserve">Ως προς την </w:t>
      </w:r>
      <w:r>
        <w:rPr>
          <w:b/>
          <w:bCs/>
          <w:lang w:val="el-GR"/>
        </w:rPr>
        <w:t>κλαδική κατανομή</w:t>
      </w:r>
      <w:r>
        <w:rPr>
          <w:lang w:val="el-GR"/>
        </w:rPr>
        <w:t xml:space="preserve"> των ενταγμένων προτάσεων, προκύπτει ότι το 36% του συνόλου εντάσσεται στο χονδρικό εμπόριο, ενώ ακολουθούν με 33% οι επιλέξιμοι ΚΑΔ στον τομέα των υπηρεσιών, με 23% της μεταποίησης και της επεξεργασίας αποβλήτων, και με 8% οι επιλέξιμες δραστηριότητες στον τομέα των κατασκευών</w:t>
      </w:r>
      <w:r>
        <w:rPr>
          <w:rFonts w:ascii="Times New Roman" w:hAnsi="Times New Roman" w:cs="Times New Roman"/>
          <w:lang w:val="el-GR"/>
        </w:rPr>
        <w:t>.</w:t>
      </w:r>
      <w:r>
        <w:rPr>
          <w:lang w:val="el-GR"/>
        </w:rPr>
        <w:t xml:space="preserve"> Μεγαλύτερη βαρύτητα συγκεντρώνουν οι επιχειρηματικές δραστηριότητες της μεταποίησης στην περίπτωση της Δράσης 2, όπου καταλαμβάνουν τη 2</w:t>
      </w:r>
      <w:r>
        <w:rPr>
          <w:vertAlign w:val="superscript"/>
          <w:lang w:val="el-GR"/>
        </w:rPr>
        <w:t>η</w:t>
      </w:r>
      <w:r>
        <w:rPr>
          <w:lang w:val="el-GR"/>
        </w:rPr>
        <w:t xml:space="preserve"> θέση με ποσοστό 35%, έναντι των υπηρεσιών στη 3</w:t>
      </w:r>
      <w:r>
        <w:rPr>
          <w:vertAlign w:val="superscript"/>
          <w:lang w:val="el-GR"/>
        </w:rPr>
        <w:t>η</w:t>
      </w:r>
      <w:r>
        <w:rPr>
          <w:lang w:val="el-GR"/>
        </w:rPr>
        <w:t xml:space="preserve"> θέση με 25%.</w:t>
      </w:r>
    </w:p>
    <w:p w:rsidR="00175E02" w:rsidRDefault="00175E02">
      <w:pPr>
        <w:spacing w:after="120" w:line="360" w:lineRule="exact"/>
        <w:rPr>
          <w:lang w:val="el-GR"/>
        </w:rPr>
      </w:pPr>
      <w:r>
        <w:rPr>
          <w:lang w:val="el-GR"/>
        </w:rPr>
        <w:t>Μεταξύ των προτάσεων στον τομέα των υπηρεσιών που εντάχθηκαν στο πλαίσιο της Δράσης 1</w:t>
      </w:r>
      <w:r>
        <w:rPr>
          <w:rFonts w:ascii="Times New Roman" w:hAnsi="Times New Roman" w:cs="Times New Roman"/>
          <w:lang w:val="el-GR"/>
        </w:rPr>
        <w:t>,</w:t>
      </w:r>
      <w:r>
        <w:rPr>
          <w:lang w:val="el-GR"/>
        </w:rPr>
        <w:t xml:space="preserve"> σημαντικός αριθμός κατατάσσεται στις δραστηριότητες της «παροχής επιχειρηματικών συμβουλών και άλλων συμβουλών διαχείρισης», του «</w:t>
      </w:r>
      <w:r>
        <w:rPr>
          <w:color w:val="000000"/>
          <w:lang w:val="el-GR"/>
        </w:rPr>
        <w:t xml:space="preserve">προγραμματισμού ηλεκτρονικών υπολογιστών, παροχής </w:t>
      </w:r>
      <w:r>
        <w:rPr>
          <w:color w:val="000000"/>
          <w:lang w:val="el-GR"/>
        </w:rPr>
        <w:lastRenderedPageBreak/>
        <w:t>συμβουλών κτλ.»</w:t>
      </w:r>
      <w:r>
        <w:rPr>
          <w:lang w:val="el-GR"/>
        </w:rPr>
        <w:t xml:space="preserve"> και των «</w:t>
      </w:r>
      <w:r>
        <w:rPr>
          <w:color w:val="000000"/>
          <w:lang w:val="el-GR"/>
        </w:rPr>
        <w:t>υπηρεσιών πληροφορίας»</w:t>
      </w:r>
      <w:r>
        <w:rPr>
          <w:lang w:val="el-GR"/>
        </w:rPr>
        <w:t>. Στον τομέα της μεταποίησης πρωτοστατούν οι επιχειρηματικές δραστηριότητες στον κλάδο της βιομηχανίας τροφίμων και της «ε</w:t>
      </w:r>
      <w:r>
        <w:rPr>
          <w:color w:val="000000"/>
          <w:lang w:val="el-GR"/>
        </w:rPr>
        <w:t>πισκευής και εγκατάστασης μηχανημάτων και εξοπλισμού»</w:t>
      </w:r>
      <w:r>
        <w:rPr>
          <w:rFonts w:ascii="Times New Roman" w:hAnsi="Times New Roman" w:cs="Times New Roman"/>
          <w:lang w:val="el-GR"/>
        </w:rPr>
        <w:t>.</w:t>
      </w:r>
      <w:r>
        <w:rPr>
          <w:lang w:val="el-GR"/>
        </w:rPr>
        <w:t xml:space="preserve"> Αντίθετα, στην περίπτωση της Δράσης 2, μεταξύ των ενταγμένων προτάσεων στον τομέα των υπηρεσιών, πρωτοστατεί η δραστηριότητα της «παροχής υπηρεσιών καταλύματος». Στη μεταποίηση, εκτός από τις επιχειρηματικές δραστηριότητες στον κλάδο της βιομηχανίας τροφίμων, σημαντικός αριθμός κατατάσσεται στις δραστηριότητες της «κατασκευής μεταλλικών προϊόντων, με εξαίρεση τα μηχανήματα και τα είδη εξοπλισμού» και της «κατασκευής ειδών ένδυσης».</w:t>
      </w:r>
    </w:p>
    <w:p w:rsidR="00334D7C" w:rsidRDefault="00334D7C" w:rsidP="00334D7C">
      <w:pPr>
        <w:spacing w:after="120" w:line="360" w:lineRule="exact"/>
        <w:rPr>
          <w:lang w:val="el-GR"/>
        </w:rPr>
      </w:pPr>
      <w:r w:rsidRPr="00961459">
        <w:rPr>
          <w:lang w:val="el-GR"/>
        </w:rPr>
        <w:t xml:space="preserve">Από ορισμένους συνεντευξιαζόμενους αναφέρθηκε η ανάγκη εντονότερου </w:t>
      </w:r>
      <w:r w:rsidRPr="00961459">
        <w:rPr>
          <w:b/>
          <w:lang w:val="el-GR"/>
        </w:rPr>
        <w:t>αναπροσανατολισμού των ενισχύσεων</w:t>
      </w:r>
      <w:r w:rsidRPr="00961459">
        <w:rPr>
          <w:lang w:val="el-GR"/>
        </w:rPr>
        <w:t xml:space="preserve"> σε κλάδους όπου διαπιστώνονται επαρκείς αναπτυξιακές επιδόσεις, με μεγαλύτερη βαρύτητα στην καινοτομία και στη </w:t>
      </w:r>
      <w:r w:rsidRPr="00961459">
        <w:rPr>
          <w:color w:val="000000"/>
          <w:lang w:val="el-GR"/>
        </w:rPr>
        <w:t>διαφοροποίηση των προϊόντων / υπηρεσιών</w:t>
      </w:r>
      <w:r w:rsidRPr="00961459">
        <w:rPr>
          <w:lang w:val="el-GR"/>
        </w:rPr>
        <w:t>, την ενσωμάτωση εισροών γνώσης, τη δημιουργία προστιθέμενης αξίας και την εξωστρέφεια, προκειμένου να διασφαλίζονται περισσότερο κάποιοι ελάχιστοι όροι βιωσιμότητας και συμβολής στην προσπάθεια ανασυγκρότησης των προτύπων επιχειρηματικότητας.</w:t>
      </w:r>
      <w:r>
        <w:rPr>
          <w:lang w:val="el-GR"/>
        </w:rPr>
        <w:t xml:space="preserve"> </w:t>
      </w:r>
    </w:p>
    <w:p w:rsidR="00175E02" w:rsidRPr="002F333B" w:rsidRDefault="00175E02">
      <w:pPr>
        <w:tabs>
          <w:tab w:val="left" w:pos="0"/>
        </w:tabs>
        <w:spacing w:after="120" w:line="360" w:lineRule="exact"/>
        <w:rPr>
          <w:rFonts w:asciiTheme="minorHAnsi" w:hAnsiTheme="minorHAnsi"/>
          <w:lang w:val="el-GR"/>
        </w:rPr>
      </w:pPr>
      <w:r>
        <w:rPr>
          <w:lang w:val="el-GR"/>
        </w:rPr>
        <w:t xml:space="preserve">Ως προς το </w:t>
      </w:r>
      <w:r>
        <w:rPr>
          <w:b/>
          <w:bCs/>
          <w:lang w:val="el-GR"/>
        </w:rPr>
        <w:t>θεσμικό και οργανωτικό πλαίσιο</w:t>
      </w:r>
      <w:r>
        <w:rPr>
          <w:lang w:val="el-GR"/>
        </w:rPr>
        <w:t xml:space="preserve"> </w:t>
      </w:r>
      <w:r>
        <w:rPr>
          <w:b/>
          <w:bCs/>
          <w:lang w:val="el-GR"/>
        </w:rPr>
        <w:t>υλοποίησης</w:t>
      </w:r>
      <w:r>
        <w:rPr>
          <w:lang w:val="el-GR"/>
        </w:rPr>
        <w:t xml:space="preserve"> του Προγράμματος, καθώς και τους </w:t>
      </w:r>
      <w:r>
        <w:rPr>
          <w:b/>
          <w:bCs/>
          <w:lang w:val="el-GR"/>
        </w:rPr>
        <w:t>όρους και τις προϋποθέσεις συμμετοχής</w:t>
      </w:r>
      <w:r>
        <w:rPr>
          <w:lang w:val="el-GR"/>
        </w:rPr>
        <w:t xml:space="preserve"> των δικαιούχων, βασικό πρόβλημα αποτέλεσε η μεγάλη </w:t>
      </w:r>
      <w:r>
        <w:rPr>
          <w:b/>
          <w:bCs/>
          <w:lang w:val="el-GR"/>
        </w:rPr>
        <w:t>καθυστέρηση</w:t>
      </w:r>
      <w:r>
        <w:rPr>
          <w:lang w:val="el-GR"/>
        </w:rPr>
        <w:t xml:space="preserve"> μεταξύ της προκήρυξης του προγράμματος και αφενός της έγκρισης των προτάσεων και αφετέρου της έναρξης καταβολής των πρώτων ενισχύσεων προς τις επιχειρήσεις</w:t>
      </w:r>
      <w:r>
        <w:rPr>
          <w:rFonts w:ascii="Times New Roman" w:hAnsi="Times New Roman" w:cs="Times New Roman"/>
          <w:lang w:val="el-GR"/>
        </w:rPr>
        <w:t>.</w:t>
      </w:r>
      <w:r>
        <w:rPr>
          <w:lang w:val="el-GR"/>
        </w:rPr>
        <w:t xml:space="preserve"> Δεδομένων των ενδεχόμενων μεταβολών σε επιμέρους παραμέτρους υλοποίησης του επιχειρηματικού σχεδίου, οι καθυστερήσεις αυτές έχουν ως αποτέλεσμα είτε να απαιτείται η τροποποίηση των αρχικά προβλεπόμενων σχεδίων, είτε να καθίσταται αδύνατη η υλοποίησή τους</w:t>
      </w:r>
      <w:r>
        <w:rPr>
          <w:rFonts w:ascii="Times New Roman" w:hAnsi="Times New Roman" w:cs="Times New Roman"/>
          <w:lang w:val="el-GR"/>
        </w:rPr>
        <w:t>.</w:t>
      </w:r>
      <w:r>
        <w:rPr>
          <w:lang w:val="el-GR"/>
        </w:rPr>
        <w:t xml:space="preserve"> Επίσης, ως ιδιαίτερα προβληματική παράμετρος αναφέρθηκε η </w:t>
      </w:r>
      <w:r>
        <w:rPr>
          <w:b/>
          <w:bCs/>
          <w:lang w:val="el-GR"/>
        </w:rPr>
        <w:t>υποχρέωση προσκόμισης ισόποσης τραπεζικής εγγυητικής</w:t>
      </w:r>
      <w:r>
        <w:rPr>
          <w:lang w:val="el-GR"/>
        </w:rPr>
        <w:t xml:space="preserve"> προκειμένου ο ωφελούμενος να μπορέσει να κάνει χρήση της δυνατότητας καταβολής προκαταβολής 50%. Με δεδομένη την τρέχουσα πρακτική των Τραπεζών, να ζητούν δέσμευση ισόποσου ποσού από τα χρηματικά διαθέσιμα (καταθέσεων) του ωφελούμενου, και δεδομένου ότι η συντριπτική πλειοψηφία των δυνητικά ωφελούμενων, μη έχοντας καταθέσεις να δεσμεύσουν για την έκδοση εγγυητικής επιστολής, θέτει αναγκαστικά εκτός δυνατότητας αξιοποίησης της ενίσχυσης έναν μεγάλο αριθμό δυνητικών δικαιούχων, αλλά και εγκεκριμένων επιχειρηματιών που τελικά εγκαταλείπουν το εγχείρημά τους. Ενδεικτικά αυτής της αδυναμίας των δικαιούχων είναι τα στοιχεία της ΕΛΑΝΕΤ, σύμφωνα με τα οποία μόλις 130 επιχειρηματίες που </w:t>
      </w:r>
      <w:r w:rsidRPr="002F333B">
        <w:rPr>
          <w:rFonts w:asciiTheme="minorHAnsi" w:hAnsiTheme="minorHAnsi"/>
          <w:lang w:val="el-GR"/>
        </w:rPr>
        <w:t xml:space="preserve">εντάχθηκαν στο Πρόγραμμα έκαναν χρήση της δυνατότητας χορήγησης προκαταβολής. </w:t>
      </w:r>
    </w:p>
    <w:p w:rsidR="002F333B" w:rsidRPr="002F333B" w:rsidRDefault="00175E02">
      <w:pPr>
        <w:pStyle w:val="ad"/>
        <w:tabs>
          <w:tab w:val="left" w:pos="0"/>
        </w:tabs>
        <w:spacing w:after="120" w:line="360" w:lineRule="exact"/>
        <w:ind w:left="0"/>
        <w:rPr>
          <w:rFonts w:asciiTheme="minorHAnsi" w:hAnsiTheme="minorHAnsi"/>
          <w:lang w:val="el-GR"/>
        </w:rPr>
      </w:pPr>
      <w:r w:rsidRPr="002F333B">
        <w:rPr>
          <w:rFonts w:asciiTheme="minorHAnsi" w:hAnsiTheme="minorHAnsi"/>
          <w:lang w:val="el-GR"/>
        </w:rPr>
        <w:t>Αντίθετα, ως πλέον θετικ</w:t>
      </w:r>
      <w:r w:rsidR="002F333B" w:rsidRPr="002F333B">
        <w:rPr>
          <w:rFonts w:asciiTheme="minorHAnsi" w:hAnsiTheme="minorHAnsi"/>
          <w:lang w:val="el-GR"/>
        </w:rPr>
        <w:t>ά</w:t>
      </w:r>
      <w:r w:rsidRPr="002F333B">
        <w:rPr>
          <w:rFonts w:asciiTheme="minorHAnsi" w:hAnsiTheme="minorHAnsi"/>
          <w:lang w:val="el-GR"/>
        </w:rPr>
        <w:t xml:space="preserve"> στοιχεί</w:t>
      </w:r>
      <w:r w:rsidR="002F333B" w:rsidRPr="002F333B">
        <w:rPr>
          <w:rFonts w:asciiTheme="minorHAnsi" w:hAnsiTheme="minorHAnsi"/>
          <w:lang w:val="el-GR"/>
        </w:rPr>
        <w:t>α</w:t>
      </w:r>
      <w:r w:rsidRPr="002F333B">
        <w:rPr>
          <w:rFonts w:asciiTheme="minorHAnsi" w:hAnsiTheme="minorHAnsi"/>
          <w:lang w:val="el-GR"/>
        </w:rPr>
        <w:t xml:space="preserve"> του Προγράμματος αναδείχθηκ</w:t>
      </w:r>
      <w:r w:rsidR="002F333B" w:rsidRPr="002F333B">
        <w:rPr>
          <w:rFonts w:asciiTheme="minorHAnsi" w:hAnsiTheme="minorHAnsi"/>
          <w:lang w:val="el-GR"/>
        </w:rPr>
        <w:t>αν:</w:t>
      </w:r>
      <w:r w:rsidRPr="002F333B">
        <w:rPr>
          <w:rFonts w:asciiTheme="minorHAnsi" w:hAnsiTheme="minorHAnsi"/>
          <w:lang w:val="el-GR"/>
        </w:rPr>
        <w:t xml:space="preserve"> </w:t>
      </w:r>
    </w:p>
    <w:p w:rsidR="002F333B" w:rsidRDefault="002F333B" w:rsidP="002F333B">
      <w:pPr>
        <w:pStyle w:val="ad"/>
        <w:numPr>
          <w:ilvl w:val="0"/>
          <w:numId w:val="16"/>
        </w:numPr>
        <w:tabs>
          <w:tab w:val="left" w:pos="0"/>
        </w:tabs>
        <w:spacing w:after="120" w:line="360" w:lineRule="exact"/>
        <w:rPr>
          <w:rFonts w:asciiTheme="minorHAnsi" w:hAnsiTheme="minorHAnsi" w:cs="Times New Roman"/>
          <w:lang w:val="el-GR"/>
        </w:rPr>
      </w:pPr>
      <w:r w:rsidRPr="002F333B">
        <w:rPr>
          <w:rFonts w:asciiTheme="minorHAnsi" w:hAnsiTheme="minorHAnsi" w:cs="Times New Roman"/>
          <w:lang w:val="el-GR"/>
        </w:rPr>
        <w:t xml:space="preserve">η </w:t>
      </w:r>
      <w:r w:rsidRPr="002F333B">
        <w:rPr>
          <w:rFonts w:asciiTheme="minorHAnsi" w:hAnsiTheme="minorHAnsi" w:cs="Times New Roman"/>
          <w:b/>
          <w:lang w:val="el-GR"/>
        </w:rPr>
        <w:t>διαδικασία</w:t>
      </w:r>
      <w:r w:rsidRPr="002F333B">
        <w:rPr>
          <w:rFonts w:asciiTheme="minorHAnsi" w:hAnsiTheme="minorHAnsi" w:cs="Times New Roman"/>
          <w:b/>
          <w:lang w:val="el-GR"/>
        </w:rPr>
        <w:t xml:space="preserve"> ηλεκτρονικής υποβολής</w:t>
      </w:r>
      <w:r>
        <w:rPr>
          <w:rFonts w:asciiTheme="minorHAnsi" w:hAnsiTheme="minorHAnsi" w:cs="Times New Roman"/>
          <w:lang w:val="el-GR"/>
        </w:rPr>
        <w:t xml:space="preserve"> των προτάσεων – χωρίς προσκόμιση των δικαιολογητικών υποβολής – που εφαρμόστηκε για πρώτη φορά ως </w:t>
      </w:r>
      <w:r>
        <w:rPr>
          <w:rFonts w:asciiTheme="minorHAnsi" w:hAnsiTheme="minorHAnsi" w:cs="Times New Roman"/>
          <w:lang w:val="el-GR"/>
        </w:rPr>
        <w:t>διαδικασία</w:t>
      </w:r>
      <w:r>
        <w:rPr>
          <w:rFonts w:asciiTheme="minorHAnsi" w:hAnsiTheme="minorHAnsi" w:cs="Times New Roman"/>
          <w:lang w:val="el-GR"/>
        </w:rPr>
        <w:t xml:space="preserve"> χορήγησης Κρατικών Ενισχύσεων μέσω του Πληροφοριακού Συστήματος Κρατικών Ενισχύσεων (ΠΣΚΕ),</w:t>
      </w:r>
    </w:p>
    <w:p w:rsidR="002F333B" w:rsidRPr="002F333B" w:rsidRDefault="002F333B" w:rsidP="002F333B">
      <w:pPr>
        <w:pStyle w:val="ad"/>
        <w:numPr>
          <w:ilvl w:val="0"/>
          <w:numId w:val="16"/>
        </w:numPr>
        <w:tabs>
          <w:tab w:val="left" w:pos="0"/>
        </w:tabs>
        <w:spacing w:after="120" w:line="360" w:lineRule="exact"/>
        <w:rPr>
          <w:rFonts w:asciiTheme="minorHAnsi" w:hAnsiTheme="minorHAnsi" w:cs="Times New Roman"/>
          <w:lang w:val="el-GR"/>
        </w:rPr>
      </w:pPr>
      <w:r>
        <w:rPr>
          <w:rFonts w:asciiTheme="minorHAnsi" w:hAnsiTheme="minorHAnsi" w:cs="Times New Roman"/>
          <w:lang w:val="el-GR"/>
        </w:rPr>
        <w:lastRenderedPageBreak/>
        <w:t xml:space="preserve">η </w:t>
      </w:r>
      <w:r w:rsidRPr="005F3C5E">
        <w:rPr>
          <w:rFonts w:asciiTheme="minorHAnsi" w:hAnsiTheme="minorHAnsi" w:cs="Times New Roman"/>
          <w:b/>
          <w:lang w:val="el-GR"/>
        </w:rPr>
        <w:t xml:space="preserve">πιστοποίηση </w:t>
      </w:r>
      <w:r w:rsidR="005F3C5E" w:rsidRPr="005F3C5E">
        <w:rPr>
          <w:rFonts w:asciiTheme="minorHAnsi" w:hAnsiTheme="minorHAnsi" w:cs="Times New Roman"/>
          <w:b/>
          <w:lang w:val="el-GR"/>
        </w:rPr>
        <w:t xml:space="preserve">της προόδου υλοποίησης </w:t>
      </w:r>
      <w:r w:rsidR="005F3C5E">
        <w:rPr>
          <w:rFonts w:asciiTheme="minorHAnsi" w:hAnsiTheme="minorHAnsi" w:cs="Times New Roman"/>
          <w:lang w:val="el-GR"/>
        </w:rPr>
        <w:t xml:space="preserve">των επιχειρηματικών σχεδίων </w:t>
      </w:r>
      <w:r>
        <w:rPr>
          <w:rFonts w:asciiTheme="minorHAnsi" w:hAnsiTheme="minorHAnsi" w:cs="Times New Roman"/>
          <w:lang w:val="el-GR"/>
        </w:rPr>
        <w:t>στο 25% και στο 50%</w:t>
      </w:r>
      <w:r w:rsidR="005F3C5E" w:rsidRPr="005F3C5E">
        <w:rPr>
          <w:rFonts w:asciiTheme="minorHAnsi" w:hAnsiTheme="minorHAnsi" w:cs="Times New Roman"/>
          <w:lang w:val="el-GR"/>
        </w:rPr>
        <w:t xml:space="preserve"> </w:t>
      </w:r>
      <w:r w:rsidR="005F3C5E">
        <w:rPr>
          <w:rFonts w:asciiTheme="minorHAnsi" w:hAnsiTheme="minorHAnsi" w:cs="Times New Roman"/>
          <w:lang w:val="el-GR"/>
        </w:rPr>
        <w:t xml:space="preserve">των πραγματοποιηθέντων </w:t>
      </w:r>
      <w:r w:rsidR="005F3C5E">
        <w:rPr>
          <w:rFonts w:asciiTheme="minorHAnsi" w:hAnsiTheme="minorHAnsi" w:cs="Times New Roman"/>
          <w:lang w:val="el-GR"/>
        </w:rPr>
        <w:t>δαπανών</w:t>
      </w:r>
      <w:r w:rsidR="005F3C5E">
        <w:rPr>
          <w:rFonts w:asciiTheme="minorHAnsi" w:hAnsiTheme="minorHAnsi" w:cs="Times New Roman"/>
          <w:lang w:val="el-GR"/>
        </w:rPr>
        <w:t xml:space="preserve"> που βοηθά σημαντικά στην αντιμετώπιση του προβλήματος ρευστότητας των επιχειρήσεων, </w:t>
      </w:r>
    </w:p>
    <w:p w:rsidR="00175E02" w:rsidRDefault="00175E02" w:rsidP="002F333B">
      <w:pPr>
        <w:pStyle w:val="ad"/>
        <w:numPr>
          <w:ilvl w:val="0"/>
          <w:numId w:val="16"/>
        </w:numPr>
        <w:tabs>
          <w:tab w:val="left" w:pos="0"/>
        </w:tabs>
        <w:spacing w:after="120" w:line="360" w:lineRule="exact"/>
        <w:rPr>
          <w:rFonts w:ascii="Times New Roman" w:hAnsi="Times New Roman" w:cs="Times New Roman"/>
          <w:lang w:val="el-GR"/>
        </w:rPr>
      </w:pPr>
      <w:r w:rsidRPr="002F333B">
        <w:rPr>
          <w:rFonts w:asciiTheme="minorHAnsi" w:hAnsiTheme="minorHAnsi"/>
          <w:lang w:val="el-GR"/>
        </w:rPr>
        <w:t xml:space="preserve">η </w:t>
      </w:r>
      <w:r w:rsidRPr="002F333B">
        <w:rPr>
          <w:rFonts w:asciiTheme="minorHAnsi" w:hAnsiTheme="minorHAnsi"/>
          <w:b/>
          <w:bCs/>
          <w:lang w:val="el-GR"/>
        </w:rPr>
        <w:t>απαλλαγή από την υποχρέωση καταβολής ίδιας συμμετοχής</w:t>
      </w:r>
      <w:r w:rsidRPr="002F333B">
        <w:rPr>
          <w:rFonts w:asciiTheme="minorHAnsi" w:hAnsiTheme="minorHAnsi"/>
          <w:lang w:val="el-GR"/>
        </w:rPr>
        <w:t xml:space="preserve"> (ή τραπεζικού δανεισμού), δεδομένου ότι</w:t>
      </w:r>
      <w:r>
        <w:rPr>
          <w:lang w:val="el-GR"/>
        </w:rPr>
        <w:t xml:space="preserve"> χρηματοδοτείται το 100% των επιλέξιμων δαπανών, σε συνδυασμό με την χρηματοδότηση λειτουργικών δαπανών, που </w:t>
      </w:r>
      <w:r w:rsidR="005F3C5E">
        <w:rPr>
          <w:lang w:val="el-GR"/>
        </w:rPr>
        <w:t xml:space="preserve">επίσης </w:t>
      </w:r>
      <w:r>
        <w:rPr>
          <w:lang w:val="el-GR"/>
        </w:rPr>
        <w:t xml:space="preserve">συμβάλλει στη </w:t>
      </w:r>
      <w:r w:rsidR="005F3C5E">
        <w:rPr>
          <w:lang w:val="el-GR"/>
        </w:rPr>
        <w:t>διευκόλυνση</w:t>
      </w:r>
      <w:r>
        <w:rPr>
          <w:lang w:val="el-GR"/>
        </w:rPr>
        <w:t xml:space="preserve"> της ρευστότητας των επιχειρήσεων, ειδικά κατά το αρχικό διάστημα της λειτουργίας τους όπου τα έσοδα είναι ακόμη περιορισμένα.</w:t>
      </w:r>
    </w:p>
    <w:p w:rsidR="00175E02" w:rsidRPr="00961459" w:rsidRDefault="00175E02" w:rsidP="00A1758F">
      <w:pPr>
        <w:spacing w:after="120" w:line="360" w:lineRule="exact"/>
      </w:pPr>
      <w:r>
        <w:rPr>
          <w:lang w:val="el-GR"/>
        </w:rPr>
        <w:t xml:space="preserve">Σχεδόν στο σύνολό τους, οι επιχειρηματικές προτάσεις που εντάχθηκαν στη Δράση 1 περιελάμβαναν </w:t>
      </w:r>
      <w:r>
        <w:rPr>
          <w:b/>
          <w:bCs/>
          <w:lang w:val="el-GR"/>
        </w:rPr>
        <w:t>δαπάνες</w:t>
      </w:r>
      <w:r>
        <w:rPr>
          <w:lang w:val="el-GR"/>
        </w:rPr>
        <w:t xml:space="preserve"> ενοικίασης των επαγγελματικών χώρων, λογαριασμών ΔΕΚΟ, αμοιβές νομικών / λογιστικών υπηρεσιών και δημιουργίας της νέας θέσης εργασίας (μεικτές αποδοχές και εργοδοτικές εισφορές). Σε μικρότερο βαθμό επέλεξαν τις κατηγορίες δαπάνης για </w:t>
      </w:r>
      <w:r>
        <w:rPr>
          <w:color w:val="000000"/>
          <w:lang w:val="el-GR"/>
        </w:rPr>
        <w:t xml:space="preserve">αγορά εξοπλισμού / α' υλών και ενδιαμέσων προϊόντων, καθώς και για αποσβέσεις παγίων, παρά το γεγονός ότι στις συνεντεύξεις που πραγματοποιήθηκαν με τους φορείς επισημάνθηκε ως μεγαλύτερη ανάγκη των επιχειρήσεων η </w:t>
      </w:r>
      <w:r>
        <w:rPr>
          <w:lang w:val="el-GR"/>
        </w:rPr>
        <w:t xml:space="preserve">χρηματοδότηση της προμήθειας εξοπλισμού και πρώτων υλών / εμπορευμάτων. Ενδεικτικά ως προς τη δυσλειτουργική επιλεξιμότητα κατηγοριών δαπανών, αναφέρθηκε το παράδειγμα της ιδιόχρησης χώρων για στέγαση της επαγγελματικής δραστηριότητας, με αποτέλεσμα να μην προκύπτουν δαπάνες ενοικίου και δυνητικά ωφελούμενοι να στερούνται της δυνατότητας ενίσχυσής τους, δεδομένου ότι οι λοιπές λειτουργικές τους δαπάνες είναι χαμηλότερες από το ελάχιστο όριο προϋπολογισμού. Στην περίπτωση της Δράσης 2, η προβλεπόμενη δαπάνη για τις υποχρεωτικά επιλέξιμες ενέργειες ανήλθε σε 17.204 Ευρώ για τις ενέργειες κατάρτισης και σε 2.022 </w:t>
      </w:r>
      <w:r w:rsidRPr="00961459">
        <w:rPr>
          <w:lang w:val="el-GR"/>
        </w:rPr>
        <w:t>Ευρώ για τις συμβουλευτικές υπηρεσίες.</w:t>
      </w:r>
    </w:p>
    <w:p w:rsidR="00175E02" w:rsidRDefault="00175E02" w:rsidP="00A1758F">
      <w:pPr>
        <w:spacing w:after="120" w:line="360" w:lineRule="exact"/>
        <w:rPr>
          <w:rFonts w:ascii="Times New Roman" w:hAnsi="Times New Roman" w:cs="Times New Roman"/>
          <w:lang w:val="el-GR"/>
        </w:rPr>
      </w:pPr>
      <w:r>
        <w:rPr>
          <w:lang w:val="el-GR"/>
        </w:rPr>
        <w:t xml:space="preserve">Παρατηρήθηκαν επίσης </w:t>
      </w:r>
      <w:r>
        <w:rPr>
          <w:b/>
          <w:bCs/>
          <w:lang w:val="el-GR"/>
        </w:rPr>
        <w:t>επικαλύψεις ή / και συνέργιες</w:t>
      </w:r>
      <w:r>
        <w:rPr>
          <w:lang w:val="el-GR"/>
        </w:rPr>
        <w:t xml:space="preserve"> με άλλα προγράμματα του ΕΣΠΑ, τόσο ως προς τις ομάδες των δικαιούχων, όσο και ως προς τις μορφές των επιλέξιμων επιχειρηματικών δραστηριοτήτων και τις επιλέξιμες δαπάνες. Αν και αυτό δεν κρίνεται απαραίτητα ως αρνητικό, εντούτοις δημιουργούνται προβλήματα αφενός όταν τρέχουν  παράλληλα δύο προγράμματα με κοινές ομάδες ωφελούμενων αλλά πολύ διαφορετικούς όρους ενίσχυσης, που τελικά αποδυναμώνει για την ελκυστικότητα συμμετοχής σε ένα από τα δύο, και αφετέρου όταν από την έλλειψη ροής πληροφόρησης μεταξύ των φορέων διαχείρισης των δράσεων δυσχεραίνεται η δυνατότητα αποφυγής της παράλληλης ενίσχυσης επιχειρήσεων για τις ίδιες δαπάνες</w:t>
      </w:r>
      <w:r>
        <w:rPr>
          <w:rFonts w:ascii="Times New Roman" w:hAnsi="Times New Roman" w:cs="Times New Roman"/>
          <w:lang w:val="el-GR"/>
        </w:rPr>
        <w:t>.</w:t>
      </w:r>
    </w:p>
    <w:p w:rsidR="00175E02" w:rsidRDefault="00175E02">
      <w:pPr>
        <w:spacing w:after="120" w:line="360" w:lineRule="exact"/>
        <w:rPr>
          <w:rFonts w:ascii="Times New Roman" w:hAnsi="Times New Roman" w:cs="Times New Roman"/>
          <w:lang w:val="el-GR"/>
        </w:rPr>
      </w:pPr>
      <w:r>
        <w:rPr>
          <w:lang w:val="el-GR"/>
        </w:rPr>
        <w:t xml:space="preserve">Επίσης, το </w:t>
      </w:r>
      <w:r>
        <w:rPr>
          <w:b/>
          <w:bCs/>
          <w:lang w:val="el-GR"/>
        </w:rPr>
        <w:t>ύψος της ενίσχυσης</w:t>
      </w:r>
      <w:r>
        <w:rPr>
          <w:lang w:val="el-GR"/>
        </w:rPr>
        <w:t xml:space="preserve"> σε συνδυασμό με την παροχή πρόσθετης ενίσχυσης στην περίπτωση δημιουργίας νέας θέσης εργασίας κρίθηκε ως ενδεδειγμένο, δεδομένου της στόχευσης στην ενίσχυση επιχειρηματικών πρωτοβουλιών μικρής κλίμακας από ανέργους, αλλά και της δυνατότητας κάλυψης μεγαλύτερου αριθμού ωφελούμενων. Ο μέσος όρος της προϋπολογισθείσας δαπάνης ανήλθε σε 32.930 Ευρώ για τις ενταγμένες επιχειρη</w:t>
      </w:r>
      <w:r>
        <w:rPr>
          <w:rFonts w:ascii="Times New Roman" w:hAnsi="Times New Roman" w:cs="Times New Roman"/>
          <w:lang w:val="el-GR"/>
        </w:rPr>
        <w:softHyphen/>
      </w:r>
      <w:r>
        <w:rPr>
          <w:lang w:val="el-GR"/>
        </w:rPr>
        <w:t>ματικές προτάσεις της Δράσης 1 και σε 30.522 για τη Δράση 2</w:t>
      </w:r>
      <w:r>
        <w:rPr>
          <w:rFonts w:ascii="Times New Roman" w:hAnsi="Times New Roman" w:cs="Times New Roman"/>
          <w:lang w:val="el-GR"/>
        </w:rPr>
        <w:t>.</w:t>
      </w:r>
    </w:p>
    <w:p w:rsidR="00175E02" w:rsidRDefault="00175E02">
      <w:pPr>
        <w:spacing w:after="120" w:line="360" w:lineRule="exact"/>
        <w:rPr>
          <w:rFonts w:ascii="Times New Roman" w:hAnsi="Times New Roman" w:cs="Times New Roman"/>
          <w:lang w:val="el-GR"/>
        </w:rPr>
      </w:pPr>
      <w:r>
        <w:rPr>
          <w:lang w:val="el-GR"/>
        </w:rPr>
        <w:lastRenderedPageBreak/>
        <w:t xml:space="preserve">Ο δε μέσος όρος του </w:t>
      </w:r>
      <w:r>
        <w:rPr>
          <w:b/>
          <w:bCs/>
          <w:lang w:val="el-GR"/>
        </w:rPr>
        <w:t>κύκλου εργασιών</w:t>
      </w:r>
      <w:r>
        <w:rPr>
          <w:lang w:val="el-GR"/>
        </w:rPr>
        <w:t xml:space="preserve"> που προβλέπουν να επιτύχουν οι ενταγμένες επιχειρήσεις κατά τη τριετία 2012-2014 ανέρχεται στην περίπτωση της Δράσης 1 σε 152.912 Ευρώ (με χαμηλότερες προβλέψεις από τις υπό σύσταση επιχειρήσεις, σε σχέση με τις νεοϊδρυθείσες που διανύουν ήδη κάποιους μήνες λειτουργίας). Υψηλότερες προβλέψεις ως προς τον μέσο κύκλο εργασιών της τριετίας εμφανίζουν οι Περιφέρειες Θεσσαλίας (251.404 Ευρώ), Δυτικής Μακεδονίας (250.006 Ευρώ) και Κρήτης (221.774 Ευρώ). Ιδιαίτερα αισιόδοξες προκύπτουν οι προβλέψεις για μέσο ποσοστό </w:t>
      </w:r>
      <w:r>
        <w:rPr>
          <w:b/>
          <w:bCs/>
          <w:lang w:val="el-GR"/>
        </w:rPr>
        <w:t>κερδοφορίας</w:t>
      </w:r>
      <w:r>
        <w:rPr>
          <w:lang w:val="el-GR"/>
        </w:rPr>
        <w:t xml:space="preserve"> της τάξης του 26% επί των εσόδων, καθώς και για τον προβλεπόμενο ρυθμό αύξησής της κατά 85% εντός της εξεταζόμενης τριετίας. Αντίθετα, στην περίπτωση της Δράσης 2, αφενός ο προβλεπόμενος μέσος όρος κύκλων εργασιών των ενταγμένων επιχειρήσεων είναι σαφώς μεγαλύτερος (4.134.775 Ευρώ), αν και σαφώς σε χαμηλότερα επίπεδα από το μέσο επίπεδο (5,7 εκατ. Ευρώ) που κατέγραψαν οι επιχειρήσεις κατά τη λειτουργία τους την τριετία 2008-2010, και αφετέρου ο μέσος όρος της κερδοφορίας υπολογίζεται να ανέλθει σε 6% επί του κύκλου εργασιών, βελτιούμενος επίσης κατά 6% στο βάθος της τριετίας.</w:t>
      </w:r>
    </w:p>
    <w:p w:rsidR="00175E02" w:rsidRDefault="00E50F67">
      <w:pPr>
        <w:spacing w:after="120" w:line="360" w:lineRule="exact"/>
        <w:rPr>
          <w:rFonts w:ascii="Times New Roman" w:hAnsi="Times New Roman" w:cs="Times New Roman"/>
          <w:lang w:val="el-GR"/>
        </w:rPr>
      </w:pPr>
      <w:r>
        <w:rPr>
          <w:lang w:val="el-GR"/>
        </w:rPr>
        <w:t>Η</w:t>
      </w:r>
      <w:r w:rsidR="00175E02">
        <w:rPr>
          <w:lang w:val="el-GR"/>
        </w:rPr>
        <w:t xml:space="preserve"> </w:t>
      </w:r>
      <w:r w:rsidR="00175E02">
        <w:rPr>
          <w:b/>
          <w:bCs/>
          <w:lang w:val="el-GR"/>
        </w:rPr>
        <w:t xml:space="preserve">πρόοδος υλοποίησης </w:t>
      </w:r>
      <w:r w:rsidR="00175E02">
        <w:rPr>
          <w:lang w:val="el-GR"/>
        </w:rPr>
        <w:t>και η</w:t>
      </w:r>
      <w:r w:rsidR="00175E02">
        <w:rPr>
          <w:b/>
          <w:bCs/>
          <w:lang w:val="el-GR"/>
        </w:rPr>
        <w:t xml:space="preserve"> αποτελεσματικότητα</w:t>
      </w:r>
      <w:r w:rsidR="00175E02">
        <w:rPr>
          <w:lang w:val="el-GR"/>
        </w:rPr>
        <w:t xml:space="preserve"> της στόχευσης της παρέμβασης φαίνεται να επιτυγχάνεται επαρκώς. Λαμβάνοντας πάντα υπόψη τη δυνατότητα ανταπόκρισης των ωφελούμενων στους όρους του προγράμματος υπό τις παρούσες (δυσχερείς) συνθήκες της αγοράς, κρίνεται ότι μεγάλο ποσοστό των ωφελούμενων θα υλοποιήσουν τα επιχειρηματικά τους σχέδια που έχουν ενταχθεί προς ενίσχυση, και δεν προτίθενται να εγκαταλείψουν την υλοποίησή τους. Ενδεικτικά αναφέρθηκε, ότι παρά τις σημαντικές δυσκολίες που αντιμετωπίζουν οι νέοι επιχειρηματίες λόγω της γενικότερης οικονομικής κρίσης, η παροχή της οικονομικής ενίσχυσης τους βοηθά να παραμείνουν σε μια «σταθερή τροχιά ανάπτυξης». Σύμφωνα ειδικότερα με τις εκτιμήσεις της ΕΛΑΝΕΤ, η υλοποίηση των επιχειρηματικών σχεδίων προχωρά ικανοποιητικά, με συνολικά 1.869 ωφελούμενοι να έχουν ήδη υποβάλλει τμηματικά ή τελικά αιτήματα εκταμίευσης για συνολικό ποσό που ανέρχεται στα 31,7 εκατ. Ευρώ.</w:t>
      </w:r>
    </w:p>
    <w:p w:rsidR="00B970E1" w:rsidRPr="002C0686" w:rsidRDefault="00E50F67" w:rsidP="00B970E1">
      <w:pPr>
        <w:spacing w:after="120" w:line="360" w:lineRule="exact"/>
        <w:rPr>
          <w:lang w:val="el-GR"/>
        </w:rPr>
      </w:pPr>
      <w:r w:rsidRPr="00B9486D">
        <w:rPr>
          <w:lang w:val="el-GR"/>
        </w:rPr>
        <w:t xml:space="preserve">Τέλος, </w:t>
      </w:r>
      <w:r w:rsidR="00B9486D" w:rsidRPr="00B9486D">
        <w:rPr>
          <w:lang w:val="el-GR"/>
        </w:rPr>
        <w:t>παρατηρ</w:t>
      </w:r>
      <w:r w:rsidR="00B9486D" w:rsidRPr="00B9486D">
        <w:rPr>
          <w:lang w:val="el-GR"/>
        </w:rPr>
        <w:t xml:space="preserve">ήθηκε η </w:t>
      </w:r>
      <w:r w:rsidR="00B9486D" w:rsidRPr="00B9486D">
        <w:rPr>
          <w:b/>
          <w:lang w:val="el-GR"/>
        </w:rPr>
        <w:t>ύπαρξη</w:t>
      </w:r>
      <w:r w:rsidR="00B9486D" w:rsidRPr="00B9486D">
        <w:rPr>
          <w:b/>
          <w:lang w:val="el-GR"/>
        </w:rPr>
        <w:t xml:space="preserve"> </w:t>
      </w:r>
      <w:r w:rsidR="00B970E1" w:rsidRPr="00B9486D">
        <w:rPr>
          <w:b/>
          <w:lang w:val="el-GR"/>
        </w:rPr>
        <w:t>επικαλύψε</w:t>
      </w:r>
      <w:r w:rsidR="00B9486D" w:rsidRPr="00B9486D">
        <w:rPr>
          <w:b/>
          <w:lang w:val="el-GR"/>
        </w:rPr>
        <w:t>ων</w:t>
      </w:r>
      <w:r w:rsidR="00B9486D">
        <w:rPr>
          <w:b/>
          <w:lang w:val="el-GR"/>
        </w:rPr>
        <w:t xml:space="preserve"> ή / και συνε</w:t>
      </w:r>
      <w:r w:rsidR="00B970E1" w:rsidRPr="00B9486D">
        <w:rPr>
          <w:b/>
          <w:lang w:val="el-GR"/>
        </w:rPr>
        <w:t>ργι</w:t>
      </w:r>
      <w:r w:rsidR="00B9486D" w:rsidRPr="00B9486D">
        <w:rPr>
          <w:b/>
          <w:lang w:val="el-GR"/>
        </w:rPr>
        <w:t>ών</w:t>
      </w:r>
      <w:r w:rsidR="00B970E1" w:rsidRPr="00B9486D">
        <w:rPr>
          <w:lang w:val="el-GR"/>
        </w:rPr>
        <w:t xml:space="preserve"> με άλλα προγράμματα του ΕΣΠΑ, τόσο ως προς τις ομάδες των δικαιούχων, όσο και ως προς τις μορφές των επιλέξιμων επιχειρηματικών δραστηριοτήτων και τις </w:t>
      </w:r>
      <w:r w:rsidR="00B970E1" w:rsidRPr="00A95B0A">
        <w:rPr>
          <w:lang w:val="el-GR"/>
        </w:rPr>
        <w:t>επιλέξιμες δαπάνες</w:t>
      </w:r>
      <w:r w:rsidR="00A95B0A" w:rsidRPr="00A95B0A">
        <w:rPr>
          <w:lang w:val="el-GR"/>
        </w:rPr>
        <w:t xml:space="preserve"> (π.χ. κόστος </w:t>
      </w:r>
      <w:r w:rsidR="00A95B0A" w:rsidRPr="00A95B0A">
        <w:rPr>
          <w:lang w:val="el-GR"/>
        </w:rPr>
        <w:t>απασχόληση</w:t>
      </w:r>
      <w:r w:rsidR="00A95B0A" w:rsidRPr="00A95B0A">
        <w:rPr>
          <w:lang w:val="el-GR"/>
        </w:rPr>
        <w:t>ς</w:t>
      </w:r>
      <w:r w:rsidR="00A95B0A" w:rsidRPr="00A95B0A">
        <w:rPr>
          <w:lang w:val="el-GR"/>
        </w:rPr>
        <w:t xml:space="preserve"> προσωπικού και λειτουργικ</w:t>
      </w:r>
      <w:r w:rsidR="00A95B0A" w:rsidRPr="00A95B0A">
        <w:rPr>
          <w:lang w:val="el-GR"/>
        </w:rPr>
        <w:t>ές</w:t>
      </w:r>
      <w:r w:rsidR="00A95B0A" w:rsidRPr="00A95B0A">
        <w:rPr>
          <w:lang w:val="el-GR"/>
        </w:rPr>
        <w:t xml:space="preserve"> δαπ</w:t>
      </w:r>
      <w:r w:rsidR="00A95B0A" w:rsidRPr="00A95B0A">
        <w:rPr>
          <w:lang w:val="el-GR"/>
        </w:rPr>
        <w:t>άνες)</w:t>
      </w:r>
      <w:r w:rsidR="00B970E1" w:rsidRPr="00A95B0A">
        <w:rPr>
          <w:lang w:val="el-GR"/>
        </w:rPr>
        <w:t xml:space="preserve">. Μεγαλύτερη επικάλυψη παρατηρήθηκε με δράσεις του ΟΑΕΔ, όπου δημιουργήθηκαν προβλήματα λόγω της έλλειψης πληροφόρησης από τον Οργανισμό για τις επιχειρήσεις που είχαν ενταχθεί στις δικές τους δράσεις, ώστε να αποφευχθεί η ένταξη των ίδιων </w:t>
      </w:r>
      <w:r w:rsidR="00B970E1" w:rsidRPr="002C0686">
        <w:rPr>
          <w:lang w:val="el-GR"/>
        </w:rPr>
        <w:t>δαπανών και στο πρόγραμμα του Εθνικού Αποθεματικού Απροβλέπτων.</w:t>
      </w:r>
    </w:p>
    <w:p w:rsidR="00EB7207" w:rsidRPr="00EB7207" w:rsidRDefault="00B970E1" w:rsidP="00B970E1">
      <w:pPr>
        <w:spacing w:after="120" w:line="360" w:lineRule="exact"/>
        <w:rPr>
          <w:rFonts w:ascii="Times New Roman" w:hAnsi="Times New Roman" w:cs="Times New Roman"/>
        </w:rPr>
      </w:pPr>
      <w:r w:rsidRPr="002C0686">
        <w:rPr>
          <w:lang w:val="el-GR"/>
        </w:rPr>
        <w:t>Δεδομένης της λογικής του ΕΣΠΑ για την παροχή ενισχύσεων στο πλαίσιο μεμονωμένων δράσεων με διαφοροποιούμενους στόχους και ομάδες ωφελούμενων, ενδεχόμενες επικαλύψεις κρίνονται ως μάλλον αναπόφευκτες, ενώ μπορεί να δημιουργούν και θετικές συνέργιες.</w:t>
      </w:r>
      <w:r w:rsidR="002C0686" w:rsidRPr="002C0686">
        <w:rPr>
          <w:lang w:val="el-GR"/>
        </w:rPr>
        <w:t xml:space="preserve"> </w:t>
      </w:r>
      <w:r w:rsidRPr="002C0686">
        <w:rPr>
          <w:lang w:val="el-GR"/>
        </w:rPr>
        <w:t>Ένα βασικό πρόβλημα που μπορεί να ανακύψει αφορά στην επικάλυψη μεταξύ προγραμμάτων με κοινές ομάδες ωφελούμενων αλλά πολύ διαφορετικούς όρους</w:t>
      </w:r>
      <w:bookmarkStart w:id="2" w:name="_GoBack"/>
      <w:bookmarkEnd w:id="2"/>
      <w:r w:rsidRPr="002C0686">
        <w:rPr>
          <w:lang w:val="el-GR"/>
        </w:rPr>
        <w:t xml:space="preserve"> ενίσχυσης</w:t>
      </w:r>
      <w:r w:rsidR="002C0686" w:rsidRPr="002C0686">
        <w:rPr>
          <w:lang w:val="el-GR"/>
        </w:rPr>
        <w:t xml:space="preserve">, </w:t>
      </w:r>
      <w:r w:rsidR="003470DA">
        <w:rPr>
          <w:lang w:val="el-GR"/>
        </w:rPr>
        <w:t>με αποτέλεσμα</w:t>
      </w:r>
      <w:r w:rsidR="002C0686" w:rsidRPr="002C0686">
        <w:rPr>
          <w:lang w:val="el-GR"/>
        </w:rPr>
        <w:t xml:space="preserve"> </w:t>
      </w:r>
      <w:r w:rsidR="003470DA">
        <w:rPr>
          <w:lang w:val="el-GR"/>
        </w:rPr>
        <w:t>την</w:t>
      </w:r>
      <w:r w:rsidR="002C0686" w:rsidRPr="002C0686">
        <w:rPr>
          <w:lang w:val="el-GR"/>
        </w:rPr>
        <w:t xml:space="preserve"> αποδυνάμωση του προγράμματος με τους λιγότερο ελκυστικούς όρους</w:t>
      </w:r>
      <w:r w:rsidRPr="002C0686">
        <w:rPr>
          <w:lang w:val="el-GR"/>
        </w:rPr>
        <w:t xml:space="preserve">. </w:t>
      </w:r>
    </w:p>
    <w:sectPr w:rsidR="00EB7207" w:rsidRPr="00EB7207" w:rsidSect="00175E02">
      <w:footerReference w:type="default" r:id="rId12"/>
      <w:pgSz w:w="11907" w:h="16839"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328" w:rsidRDefault="00532328">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532328" w:rsidRDefault="00532328">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E02" w:rsidRDefault="00175E02">
    <w:pPr>
      <w:pStyle w:val="aa"/>
      <w:pBdr>
        <w:top w:val="single" w:sz="4" w:space="1" w:color="auto"/>
      </w:pBdr>
      <w:tabs>
        <w:tab w:val="clear" w:pos="8306"/>
        <w:tab w:val="right" w:pos="9072"/>
      </w:tabs>
      <w:rPr>
        <w:rFonts w:ascii="Times New Roman" w:hAnsi="Times New Roman" w:cs="Times New Roman"/>
      </w:rPr>
    </w:pPr>
    <w:r>
      <w:rPr>
        <w:b/>
        <w:bCs/>
      </w:rPr>
      <w:t xml:space="preserve">SPEED AE </w:t>
    </w:r>
    <w:r>
      <w:tab/>
    </w:r>
    <w:r>
      <w:tab/>
    </w:r>
    <w:r w:rsidR="00825AAD">
      <w:fldChar w:fldCharType="begin"/>
    </w:r>
    <w:r w:rsidR="00825AAD">
      <w:instrText xml:space="preserve"> PAGE   \* MERGEFORMAT </w:instrText>
    </w:r>
    <w:r w:rsidR="00825AAD">
      <w:fldChar w:fldCharType="separate"/>
    </w:r>
    <w:r w:rsidR="003470DA">
      <w:rPr>
        <w:noProof/>
      </w:rPr>
      <w:t>6</w:t>
    </w:r>
    <w:r w:rsidR="00825AAD">
      <w:rPr>
        <w:noProof/>
      </w:rPr>
      <w:fldChar w:fldCharType="end"/>
    </w:r>
  </w:p>
  <w:p w:rsidR="00175E02" w:rsidRDefault="00175E02">
    <w:pPr>
      <w:pStyle w:val="aa"/>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328" w:rsidRDefault="00532328">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532328" w:rsidRDefault="00532328">
      <w:pPr>
        <w:spacing w:after="0" w:line="240" w:lineRule="auto"/>
        <w:rPr>
          <w:rFonts w:ascii="Times New Roman" w:hAnsi="Times New Roman" w:cs="Times New Roman"/>
        </w:rPr>
      </w:pPr>
      <w:r>
        <w:rPr>
          <w:rFonts w:ascii="Times New Roman" w:hAnsi="Times New Roman" w:cs="Times New Roman"/>
        </w:rPr>
        <w:continuationSeparator/>
      </w:r>
    </w:p>
  </w:footnote>
  <w:footnote w:id="1">
    <w:p w:rsidR="00175E02" w:rsidRDefault="00175E02">
      <w:pPr>
        <w:pStyle w:val="ab"/>
      </w:pPr>
      <w:r>
        <w:rPr>
          <w:rStyle w:val="ac"/>
        </w:rPr>
        <w:footnoteRef/>
      </w:r>
      <w:r>
        <w:t xml:space="preserve"> </w:t>
      </w:r>
      <w:r>
        <w:rPr>
          <w:lang w:val="el-GR"/>
        </w:rPr>
        <w:t>2.910 στην περίπτωση της Δράσης 1 και 420 της Δράσης 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41E4"/>
    <w:multiLevelType w:val="hybridMultilevel"/>
    <w:tmpl w:val="274E412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1DC7E24"/>
    <w:multiLevelType w:val="hybridMultilevel"/>
    <w:tmpl w:val="068C687C"/>
    <w:lvl w:ilvl="0" w:tplc="04090011">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
    <w:nsid w:val="0D065A93"/>
    <w:multiLevelType w:val="hybridMultilevel"/>
    <w:tmpl w:val="0D98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752536"/>
    <w:multiLevelType w:val="hybridMultilevel"/>
    <w:tmpl w:val="830021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20551704"/>
    <w:multiLevelType w:val="hybridMultilevel"/>
    <w:tmpl w:val="55365A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24B744DA"/>
    <w:multiLevelType w:val="hybridMultilevel"/>
    <w:tmpl w:val="3BC0825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28230CEB"/>
    <w:multiLevelType w:val="hybridMultilevel"/>
    <w:tmpl w:val="A4C2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0B1980"/>
    <w:multiLevelType w:val="hybridMultilevel"/>
    <w:tmpl w:val="FE024F9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4546607C"/>
    <w:multiLevelType w:val="hybridMultilevel"/>
    <w:tmpl w:val="5B4C025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49697C10"/>
    <w:multiLevelType w:val="hybridMultilevel"/>
    <w:tmpl w:val="A58A08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AE5722D"/>
    <w:multiLevelType w:val="hybridMultilevel"/>
    <w:tmpl w:val="03029AC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5C9E7504"/>
    <w:multiLevelType w:val="hybridMultilevel"/>
    <w:tmpl w:val="E4B0E28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5E523D7A"/>
    <w:multiLevelType w:val="hybridMultilevel"/>
    <w:tmpl w:val="7242BF48"/>
    <w:lvl w:ilvl="0" w:tplc="0409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3">
    <w:nsid w:val="6F8C202F"/>
    <w:multiLevelType w:val="multilevel"/>
    <w:tmpl w:val="04090025"/>
    <w:lvl w:ilvl="0">
      <w:start w:val="1"/>
      <w:numFmt w:val="decimal"/>
      <w:pStyle w:val="1"/>
      <w:lvlText w:val="%1"/>
      <w:lvlJc w:val="left"/>
      <w:pPr>
        <w:ind w:left="432" w:hanging="432"/>
      </w:pPr>
      <w:rPr>
        <w:rFonts w:ascii="Times New Roman" w:hAnsi="Times New Roman" w:cs="Times New Roman"/>
      </w:rPr>
    </w:lvl>
    <w:lvl w:ilvl="1">
      <w:start w:val="1"/>
      <w:numFmt w:val="decimal"/>
      <w:pStyle w:val="2"/>
      <w:lvlText w:val="%1.%2"/>
      <w:lvlJc w:val="left"/>
      <w:pPr>
        <w:ind w:left="576" w:hanging="576"/>
      </w:pPr>
      <w:rPr>
        <w:rFonts w:ascii="Times New Roman" w:hAnsi="Times New Roman" w:cs="Times New Roman"/>
      </w:rPr>
    </w:lvl>
    <w:lvl w:ilvl="2">
      <w:start w:val="1"/>
      <w:numFmt w:val="decimal"/>
      <w:pStyle w:val="3"/>
      <w:lvlText w:val="%1.%2.%3"/>
      <w:lvlJc w:val="left"/>
      <w:pPr>
        <w:ind w:left="720" w:hanging="720"/>
      </w:pPr>
      <w:rPr>
        <w:rFonts w:ascii="Times New Roman" w:hAnsi="Times New Roman" w:cs="Times New Roman"/>
      </w:rPr>
    </w:lvl>
    <w:lvl w:ilvl="3">
      <w:start w:val="1"/>
      <w:numFmt w:val="decimal"/>
      <w:pStyle w:val="4"/>
      <w:lvlText w:val="%1.%2.%3.%4"/>
      <w:lvlJc w:val="left"/>
      <w:pPr>
        <w:ind w:left="864" w:hanging="864"/>
      </w:pPr>
      <w:rPr>
        <w:rFonts w:ascii="Times New Roman" w:hAnsi="Times New Roman" w:cs="Times New Roman"/>
      </w:rPr>
    </w:lvl>
    <w:lvl w:ilvl="4">
      <w:start w:val="1"/>
      <w:numFmt w:val="decimal"/>
      <w:pStyle w:val="5"/>
      <w:lvlText w:val="%1.%2.%3.%4.%5"/>
      <w:lvlJc w:val="left"/>
      <w:pPr>
        <w:ind w:left="1008" w:hanging="1008"/>
      </w:pPr>
      <w:rPr>
        <w:rFonts w:ascii="Times New Roman" w:hAnsi="Times New Roman" w:cs="Times New Roman"/>
      </w:rPr>
    </w:lvl>
    <w:lvl w:ilvl="5">
      <w:start w:val="1"/>
      <w:numFmt w:val="decimal"/>
      <w:pStyle w:val="6"/>
      <w:lvlText w:val="%1.%2.%3.%4.%5.%6"/>
      <w:lvlJc w:val="left"/>
      <w:pPr>
        <w:ind w:left="1152" w:hanging="1152"/>
      </w:pPr>
      <w:rPr>
        <w:rFonts w:ascii="Times New Roman" w:hAnsi="Times New Roman" w:cs="Times New Roman"/>
      </w:rPr>
    </w:lvl>
    <w:lvl w:ilvl="6">
      <w:start w:val="1"/>
      <w:numFmt w:val="decimal"/>
      <w:pStyle w:val="7"/>
      <w:lvlText w:val="%1.%2.%3.%4.%5.%6.%7"/>
      <w:lvlJc w:val="left"/>
      <w:pPr>
        <w:ind w:left="1296" w:hanging="1296"/>
      </w:pPr>
      <w:rPr>
        <w:rFonts w:ascii="Times New Roman" w:hAnsi="Times New Roman" w:cs="Times New Roman"/>
      </w:rPr>
    </w:lvl>
    <w:lvl w:ilvl="7">
      <w:start w:val="1"/>
      <w:numFmt w:val="decimal"/>
      <w:pStyle w:val="8"/>
      <w:lvlText w:val="%1.%2.%3.%4.%5.%6.%7.%8"/>
      <w:lvlJc w:val="left"/>
      <w:pPr>
        <w:ind w:left="1440" w:hanging="1440"/>
      </w:pPr>
      <w:rPr>
        <w:rFonts w:ascii="Times New Roman" w:hAnsi="Times New Roman" w:cs="Times New Roman"/>
      </w:rPr>
    </w:lvl>
    <w:lvl w:ilvl="8">
      <w:start w:val="1"/>
      <w:numFmt w:val="decimal"/>
      <w:pStyle w:val="9"/>
      <w:lvlText w:val="%1.%2.%3.%4.%5.%6.%7.%8.%9"/>
      <w:lvlJc w:val="left"/>
      <w:pPr>
        <w:ind w:left="1584" w:hanging="1584"/>
      </w:pPr>
      <w:rPr>
        <w:rFonts w:ascii="Times New Roman" w:hAnsi="Times New Roman" w:cs="Times New Roman"/>
      </w:rPr>
    </w:lvl>
  </w:abstractNum>
  <w:abstractNum w:abstractNumId="14">
    <w:nsid w:val="78551BEC"/>
    <w:multiLevelType w:val="hybridMultilevel"/>
    <w:tmpl w:val="AA96ED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3"/>
  </w:num>
  <w:num w:numId="2">
    <w:abstractNumId w:val="13"/>
  </w:num>
  <w:num w:numId="3">
    <w:abstractNumId w:val="14"/>
  </w:num>
  <w:num w:numId="4">
    <w:abstractNumId w:val="8"/>
  </w:num>
  <w:num w:numId="5">
    <w:abstractNumId w:val="3"/>
  </w:num>
  <w:num w:numId="6">
    <w:abstractNumId w:val="10"/>
  </w:num>
  <w:num w:numId="7">
    <w:abstractNumId w:val="11"/>
  </w:num>
  <w:num w:numId="8">
    <w:abstractNumId w:val="1"/>
  </w:num>
  <w:num w:numId="9">
    <w:abstractNumId w:val="5"/>
  </w:num>
  <w:num w:numId="10">
    <w:abstractNumId w:val="12"/>
  </w:num>
  <w:num w:numId="11">
    <w:abstractNumId w:val="4"/>
  </w:num>
  <w:num w:numId="12">
    <w:abstractNumId w:val="0"/>
  </w:num>
  <w:num w:numId="13">
    <w:abstractNumId w:val="7"/>
  </w:num>
  <w:num w:numId="14">
    <w:abstractNumId w:val="9"/>
  </w:num>
  <w:num w:numId="15">
    <w:abstractNumId w:val="6"/>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E02"/>
    <w:rsid w:val="000B2A4C"/>
    <w:rsid w:val="00175E02"/>
    <w:rsid w:val="002C0686"/>
    <w:rsid w:val="002F094E"/>
    <w:rsid w:val="002F333B"/>
    <w:rsid w:val="00334D7C"/>
    <w:rsid w:val="003470DA"/>
    <w:rsid w:val="00532328"/>
    <w:rsid w:val="005F3C5E"/>
    <w:rsid w:val="007938F3"/>
    <w:rsid w:val="00825AAD"/>
    <w:rsid w:val="00904680"/>
    <w:rsid w:val="00961459"/>
    <w:rsid w:val="009C70B3"/>
    <w:rsid w:val="00A1758F"/>
    <w:rsid w:val="00A95B0A"/>
    <w:rsid w:val="00B9486D"/>
    <w:rsid w:val="00B970E1"/>
    <w:rsid w:val="00BC15B9"/>
    <w:rsid w:val="00E50F67"/>
    <w:rsid w:val="00EB7207"/>
    <w:rsid w:val="00F53E6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annotation text" w:unhideWhenUsed="1"/>
    <w:lsdException w:name="index heading" w:unhideWhenUsed="1"/>
    <w:lsdException w:name="caption" w:semiHidden="0" w:qFormat="1"/>
    <w:lsdException w:name="envelope address" w:unhideWhenUsed="1"/>
    <w:lsdException w:name="envelope return"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3" w:unhideWhenUsed="1"/>
    <w:lsdException w:name="Body Text Indent 2" w:unhideWhenUsed="1"/>
    <w:lsdException w:name="Body Text Indent 3" w:unhideWhenUsed="1"/>
    <w:lsdException w:name="Block Text" w:unhideWhenUsed="1"/>
    <w:lsdException w:name="Strong" w:semiHidden="0" w:qFormat="1"/>
    <w:lsdException w:name="Emphasis" w:semiHidden="0" w:uiPriority="20"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Definition" w:unhideWhenUsed="1"/>
    <w:lsdException w:name="HTML Keyboar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a">
    <w:name w:val="Normal"/>
    <w:qFormat/>
    <w:pPr>
      <w:spacing w:after="200" w:line="360" w:lineRule="auto"/>
      <w:jc w:val="both"/>
    </w:pPr>
    <w:rPr>
      <w:rFonts w:ascii="Calibri" w:hAnsi="Calibri" w:cs="Calibri"/>
      <w:lang w:val="en-US" w:eastAsia="en-US"/>
    </w:rPr>
  </w:style>
  <w:style w:type="paragraph" w:styleId="1">
    <w:name w:val="heading 1"/>
    <w:basedOn w:val="a"/>
    <w:next w:val="a"/>
    <w:link w:val="1Char"/>
    <w:uiPriority w:val="99"/>
    <w:qFormat/>
    <w:pPr>
      <w:keepNext/>
      <w:keepLines/>
      <w:numPr>
        <w:numId w:val="1"/>
      </w:numPr>
      <w:spacing w:before="480" w:after="0"/>
      <w:outlineLvl w:val="0"/>
    </w:pPr>
    <w:rPr>
      <w:rFonts w:ascii="Cambria" w:hAnsi="Cambria" w:cs="Cambria"/>
      <w:b/>
      <w:bCs/>
      <w:sz w:val="28"/>
      <w:szCs w:val="28"/>
    </w:rPr>
  </w:style>
  <w:style w:type="paragraph" w:styleId="2">
    <w:name w:val="heading 2"/>
    <w:basedOn w:val="a"/>
    <w:next w:val="a"/>
    <w:link w:val="2Char"/>
    <w:uiPriority w:val="99"/>
    <w:qFormat/>
    <w:pPr>
      <w:keepNext/>
      <w:keepLines/>
      <w:numPr>
        <w:ilvl w:val="1"/>
        <w:numId w:val="1"/>
      </w:numPr>
      <w:spacing w:before="200" w:after="120" w:line="240" w:lineRule="auto"/>
      <w:outlineLvl w:val="1"/>
    </w:pPr>
    <w:rPr>
      <w:rFonts w:ascii="Cambria" w:hAnsi="Cambria" w:cs="Cambria"/>
      <w:sz w:val="26"/>
      <w:szCs w:val="26"/>
    </w:rPr>
  </w:style>
  <w:style w:type="paragraph" w:styleId="3">
    <w:name w:val="heading 3"/>
    <w:basedOn w:val="a"/>
    <w:next w:val="a"/>
    <w:link w:val="3Char"/>
    <w:uiPriority w:val="99"/>
    <w:qFormat/>
    <w:pPr>
      <w:keepNext/>
      <w:keepLines/>
      <w:numPr>
        <w:ilvl w:val="2"/>
        <w:numId w:val="1"/>
      </w:numPr>
      <w:spacing w:before="200" w:after="120" w:line="240" w:lineRule="auto"/>
      <w:outlineLvl w:val="2"/>
    </w:pPr>
    <w:rPr>
      <w:rFonts w:ascii="Cambria" w:hAnsi="Cambria" w:cs="Cambria"/>
      <w:b/>
      <w:bCs/>
      <w:i/>
      <w:iCs/>
      <w:sz w:val="24"/>
      <w:szCs w:val="24"/>
    </w:rPr>
  </w:style>
  <w:style w:type="paragraph" w:styleId="4">
    <w:name w:val="heading 4"/>
    <w:basedOn w:val="a"/>
    <w:next w:val="a"/>
    <w:link w:val="4Char"/>
    <w:uiPriority w:val="99"/>
    <w:qFormat/>
    <w:pPr>
      <w:keepNext/>
      <w:keepLines/>
      <w:numPr>
        <w:ilvl w:val="3"/>
        <w:numId w:val="1"/>
      </w:numPr>
      <w:spacing w:before="200" w:after="0"/>
      <w:outlineLvl w:val="3"/>
    </w:pPr>
    <w:rPr>
      <w:rFonts w:ascii="Cambria" w:hAnsi="Cambria" w:cs="Cambria"/>
      <w:b/>
      <w:bCs/>
      <w:i/>
      <w:iCs/>
    </w:rPr>
  </w:style>
  <w:style w:type="paragraph" w:styleId="5">
    <w:name w:val="heading 5"/>
    <w:basedOn w:val="a"/>
    <w:next w:val="a"/>
    <w:link w:val="5Char"/>
    <w:uiPriority w:val="99"/>
    <w:qFormat/>
    <w:pPr>
      <w:keepNext/>
      <w:keepLines/>
      <w:numPr>
        <w:ilvl w:val="4"/>
        <w:numId w:val="1"/>
      </w:numPr>
      <w:spacing w:before="200" w:after="0"/>
      <w:outlineLvl w:val="4"/>
    </w:pPr>
    <w:rPr>
      <w:rFonts w:ascii="Cambria" w:hAnsi="Cambria" w:cs="Cambria"/>
    </w:rPr>
  </w:style>
  <w:style w:type="paragraph" w:styleId="6">
    <w:name w:val="heading 6"/>
    <w:basedOn w:val="a"/>
    <w:next w:val="a"/>
    <w:link w:val="6Char"/>
    <w:uiPriority w:val="99"/>
    <w:qFormat/>
    <w:pPr>
      <w:keepNext/>
      <w:keepLines/>
      <w:numPr>
        <w:ilvl w:val="5"/>
        <w:numId w:val="1"/>
      </w:numPr>
      <w:spacing w:before="200" w:after="0"/>
      <w:outlineLvl w:val="5"/>
    </w:pPr>
    <w:rPr>
      <w:rFonts w:ascii="Cambria" w:hAnsi="Cambria" w:cs="Cambria"/>
      <w:i/>
      <w:iCs/>
    </w:rPr>
  </w:style>
  <w:style w:type="paragraph" w:styleId="7">
    <w:name w:val="heading 7"/>
    <w:basedOn w:val="a"/>
    <w:next w:val="a"/>
    <w:link w:val="7Char"/>
    <w:uiPriority w:val="99"/>
    <w:qFormat/>
    <w:pPr>
      <w:keepNext/>
      <w:keepLines/>
      <w:numPr>
        <w:ilvl w:val="6"/>
        <w:numId w:val="1"/>
      </w:numPr>
      <w:spacing w:before="200" w:after="0"/>
      <w:outlineLvl w:val="6"/>
    </w:pPr>
    <w:rPr>
      <w:rFonts w:ascii="Cambria" w:hAnsi="Cambria" w:cs="Cambria"/>
      <w:i/>
      <w:iCs/>
    </w:rPr>
  </w:style>
  <w:style w:type="paragraph" w:styleId="8">
    <w:name w:val="heading 8"/>
    <w:basedOn w:val="a"/>
    <w:next w:val="a"/>
    <w:link w:val="8Char"/>
    <w:uiPriority w:val="99"/>
    <w:qFormat/>
    <w:pPr>
      <w:keepNext/>
      <w:keepLines/>
      <w:numPr>
        <w:ilvl w:val="7"/>
        <w:numId w:val="1"/>
      </w:numPr>
      <w:spacing w:before="200" w:after="0"/>
      <w:outlineLvl w:val="7"/>
    </w:pPr>
    <w:rPr>
      <w:rFonts w:ascii="Cambria" w:hAnsi="Cambria" w:cs="Cambria"/>
      <w:sz w:val="20"/>
      <w:szCs w:val="20"/>
    </w:rPr>
  </w:style>
  <w:style w:type="paragraph" w:styleId="9">
    <w:name w:val="heading 9"/>
    <w:basedOn w:val="a"/>
    <w:next w:val="a"/>
    <w:link w:val="9Char"/>
    <w:uiPriority w:val="99"/>
    <w:qFormat/>
    <w:pPr>
      <w:keepNext/>
      <w:keepLines/>
      <w:numPr>
        <w:ilvl w:val="8"/>
        <w:numId w:val="1"/>
      </w:numPr>
      <w:spacing w:before="200" w:after="0"/>
      <w:outlineLvl w:val="8"/>
    </w:pPr>
    <w:rPr>
      <w:rFonts w:ascii="Cambria" w:hAnsi="Cambria" w:cs="Cambria"/>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rPr>
      <w:rFonts w:ascii="Cambria" w:hAnsi="Cambria" w:cs="Cambria"/>
      <w:b/>
      <w:bCs/>
      <w:sz w:val="28"/>
      <w:szCs w:val="28"/>
    </w:rPr>
  </w:style>
  <w:style w:type="character" w:customStyle="1" w:styleId="2Char">
    <w:name w:val="Επικεφαλίδα 2 Char"/>
    <w:basedOn w:val="a0"/>
    <w:link w:val="2"/>
    <w:uiPriority w:val="99"/>
    <w:rPr>
      <w:rFonts w:ascii="Cambria" w:hAnsi="Cambria" w:cs="Cambria"/>
      <w:sz w:val="26"/>
      <w:szCs w:val="26"/>
    </w:rPr>
  </w:style>
  <w:style w:type="character" w:customStyle="1" w:styleId="3Char">
    <w:name w:val="Επικεφαλίδα 3 Char"/>
    <w:basedOn w:val="a0"/>
    <w:link w:val="3"/>
    <w:uiPriority w:val="99"/>
    <w:rPr>
      <w:rFonts w:ascii="Cambria" w:hAnsi="Cambria" w:cs="Cambria"/>
      <w:b/>
      <w:bCs/>
      <w:i/>
      <w:iCs/>
      <w:sz w:val="24"/>
      <w:szCs w:val="24"/>
    </w:rPr>
  </w:style>
  <w:style w:type="character" w:customStyle="1" w:styleId="4Char">
    <w:name w:val="Επικεφαλίδα 4 Char"/>
    <w:basedOn w:val="a0"/>
    <w:link w:val="4"/>
    <w:uiPriority w:val="99"/>
    <w:rPr>
      <w:rFonts w:ascii="Cambria" w:hAnsi="Cambria" w:cs="Cambria"/>
      <w:b/>
      <w:bCs/>
      <w:i/>
      <w:iCs/>
      <w:color w:val="auto"/>
    </w:rPr>
  </w:style>
  <w:style w:type="character" w:customStyle="1" w:styleId="5Char">
    <w:name w:val="Επικεφαλίδα 5 Char"/>
    <w:basedOn w:val="a0"/>
    <w:link w:val="5"/>
    <w:uiPriority w:val="99"/>
    <w:rPr>
      <w:rFonts w:ascii="Cambria" w:hAnsi="Cambria" w:cs="Cambria"/>
      <w:color w:val="auto"/>
    </w:rPr>
  </w:style>
  <w:style w:type="character" w:customStyle="1" w:styleId="6Char">
    <w:name w:val="Επικεφαλίδα 6 Char"/>
    <w:basedOn w:val="a0"/>
    <w:link w:val="6"/>
    <w:uiPriority w:val="99"/>
    <w:rPr>
      <w:rFonts w:ascii="Cambria" w:hAnsi="Cambria" w:cs="Cambria"/>
      <w:i/>
      <w:iCs/>
      <w:color w:val="auto"/>
    </w:rPr>
  </w:style>
  <w:style w:type="character" w:customStyle="1" w:styleId="7Char">
    <w:name w:val="Επικεφαλίδα 7 Char"/>
    <w:basedOn w:val="a0"/>
    <w:link w:val="7"/>
    <w:uiPriority w:val="99"/>
    <w:rPr>
      <w:rFonts w:ascii="Cambria" w:hAnsi="Cambria" w:cs="Cambria"/>
      <w:i/>
      <w:iCs/>
      <w:color w:val="auto"/>
    </w:rPr>
  </w:style>
  <w:style w:type="character" w:customStyle="1" w:styleId="8Char">
    <w:name w:val="Επικεφαλίδα 8 Char"/>
    <w:basedOn w:val="a0"/>
    <w:link w:val="8"/>
    <w:uiPriority w:val="99"/>
    <w:rPr>
      <w:rFonts w:ascii="Cambria" w:hAnsi="Cambria" w:cs="Cambria"/>
      <w:color w:val="auto"/>
      <w:sz w:val="20"/>
      <w:szCs w:val="20"/>
    </w:rPr>
  </w:style>
  <w:style w:type="character" w:customStyle="1" w:styleId="9Char">
    <w:name w:val="Επικεφαλίδα 9 Char"/>
    <w:basedOn w:val="a0"/>
    <w:link w:val="9"/>
    <w:uiPriority w:val="99"/>
    <w:rPr>
      <w:rFonts w:ascii="Cambria" w:hAnsi="Cambria" w:cs="Cambria"/>
      <w:i/>
      <w:iCs/>
      <w:color w:val="auto"/>
      <w:sz w:val="20"/>
      <w:szCs w:val="20"/>
    </w:rPr>
  </w:style>
  <w:style w:type="paragraph" w:styleId="a3">
    <w:name w:val="caption"/>
    <w:basedOn w:val="a"/>
    <w:next w:val="a"/>
    <w:uiPriority w:val="99"/>
    <w:qFormat/>
    <w:pPr>
      <w:spacing w:before="240" w:line="240" w:lineRule="auto"/>
    </w:pPr>
    <w:rPr>
      <w:b/>
      <w:bCs/>
      <w:sz w:val="20"/>
      <w:szCs w:val="20"/>
    </w:rPr>
  </w:style>
  <w:style w:type="paragraph" w:styleId="a4">
    <w:name w:val="Document Map"/>
    <w:basedOn w:val="a"/>
    <w:link w:val="Char"/>
    <w:uiPriority w:val="99"/>
    <w:pPr>
      <w:spacing w:after="0" w:line="240" w:lineRule="auto"/>
    </w:pPr>
    <w:rPr>
      <w:rFonts w:ascii="Tahoma" w:hAnsi="Tahoma" w:cs="Tahoma"/>
      <w:sz w:val="16"/>
      <w:szCs w:val="16"/>
    </w:rPr>
  </w:style>
  <w:style w:type="character" w:customStyle="1" w:styleId="Char">
    <w:name w:val="Χάρτης εγγράφου Char"/>
    <w:basedOn w:val="a0"/>
    <w:link w:val="a4"/>
    <w:uiPriority w:val="99"/>
    <w:rPr>
      <w:rFonts w:ascii="Tahoma" w:hAnsi="Tahoma" w:cs="Tahoma"/>
      <w:sz w:val="16"/>
      <w:szCs w:val="16"/>
    </w:rPr>
  </w:style>
  <w:style w:type="character" w:styleId="a5">
    <w:name w:val="Strong"/>
    <w:basedOn w:val="a0"/>
    <w:uiPriority w:val="99"/>
    <w:qFormat/>
    <w:rPr>
      <w:rFonts w:ascii="Times New Roman" w:hAnsi="Times New Roman" w:cs="Times New Roman"/>
      <w:b/>
      <w:bCs/>
    </w:rPr>
  </w:style>
  <w:style w:type="paragraph" w:styleId="a6">
    <w:name w:val="TOC Heading"/>
    <w:basedOn w:val="1"/>
    <w:next w:val="a"/>
    <w:uiPriority w:val="99"/>
    <w:qFormat/>
    <w:pPr>
      <w:numPr>
        <w:numId w:val="0"/>
      </w:numPr>
      <w:spacing w:line="276" w:lineRule="auto"/>
      <w:jc w:val="left"/>
      <w:outlineLvl w:val="9"/>
    </w:pPr>
  </w:style>
  <w:style w:type="paragraph" w:styleId="10">
    <w:name w:val="toc 1"/>
    <w:basedOn w:val="a"/>
    <w:next w:val="a"/>
    <w:autoRedefine/>
    <w:uiPriority w:val="99"/>
    <w:pPr>
      <w:spacing w:before="120" w:after="120"/>
      <w:jc w:val="left"/>
    </w:pPr>
    <w:rPr>
      <w:b/>
      <w:bCs/>
      <w:caps/>
      <w:sz w:val="24"/>
      <w:szCs w:val="24"/>
    </w:rPr>
  </w:style>
  <w:style w:type="paragraph" w:styleId="20">
    <w:name w:val="toc 2"/>
    <w:basedOn w:val="a"/>
    <w:next w:val="a"/>
    <w:autoRedefine/>
    <w:uiPriority w:val="99"/>
    <w:pPr>
      <w:spacing w:after="0"/>
      <w:ind w:left="220"/>
      <w:jc w:val="left"/>
    </w:pPr>
    <w:rPr>
      <w:smallCaps/>
      <w:sz w:val="24"/>
      <w:szCs w:val="24"/>
    </w:rPr>
  </w:style>
  <w:style w:type="paragraph" w:styleId="30">
    <w:name w:val="toc 3"/>
    <w:basedOn w:val="a"/>
    <w:next w:val="a"/>
    <w:autoRedefine/>
    <w:uiPriority w:val="99"/>
    <w:pPr>
      <w:spacing w:after="0"/>
      <w:ind w:left="440"/>
      <w:jc w:val="left"/>
    </w:pPr>
    <w:rPr>
      <w:i/>
      <w:iCs/>
      <w:sz w:val="24"/>
      <w:szCs w:val="24"/>
    </w:rPr>
  </w:style>
  <w:style w:type="character" w:styleId="-">
    <w:name w:val="Hyperlink"/>
    <w:basedOn w:val="a0"/>
    <w:uiPriority w:val="99"/>
    <w:rPr>
      <w:rFonts w:ascii="Times New Roman" w:hAnsi="Times New Roman" w:cs="Times New Roman"/>
      <w:color w:val="0000FF"/>
      <w:u w:val="single"/>
    </w:rPr>
  </w:style>
  <w:style w:type="paragraph" w:styleId="a7">
    <w:name w:val="Balloon Text"/>
    <w:basedOn w:val="a"/>
    <w:link w:val="Char0"/>
    <w:uiPriority w:val="99"/>
    <w:pPr>
      <w:spacing w:after="0" w:line="240" w:lineRule="auto"/>
    </w:pPr>
    <w:rPr>
      <w:rFonts w:ascii="Tahoma" w:hAnsi="Tahoma" w:cs="Tahoma"/>
      <w:sz w:val="16"/>
      <w:szCs w:val="16"/>
    </w:rPr>
  </w:style>
  <w:style w:type="character" w:customStyle="1" w:styleId="Char0">
    <w:name w:val="Κείμενο πλαισίου Char"/>
    <w:basedOn w:val="a0"/>
    <w:link w:val="a7"/>
    <w:uiPriority w:val="99"/>
    <w:rPr>
      <w:rFonts w:ascii="Tahoma" w:hAnsi="Tahoma" w:cs="Tahoma"/>
      <w:sz w:val="16"/>
      <w:szCs w:val="16"/>
    </w:rPr>
  </w:style>
  <w:style w:type="paragraph" w:styleId="a8">
    <w:name w:val="table of figures"/>
    <w:basedOn w:val="a"/>
    <w:next w:val="a"/>
    <w:uiPriority w:val="99"/>
    <w:pPr>
      <w:spacing w:after="0"/>
    </w:pPr>
  </w:style>
  <w:style w:type="paragraph" w:styleId="a9">
    <w:name w:val="header"/>
    <w:basedOn w:val="a"/>
    <w:link w:val="Char1"/>
    <w:uiPriority w:val="99"/>
    <w:pPr>
      <w:tabs>
        <w:tab w:val="center" w:pos="4153"/>
        <w:tab w:val="right" w:pos="8306"/>
      </w:tabs>
      <w:spacing w:after="0" w:line="240" w:lineRule="auto"/>
    </w:pPr>
  </w:style>
  <w:style w:type="character" w:customStyle="1" w:styleId="Char1">
    <w:name w:val="Κεφαλίδα Char"/>
    <w:basedOn w:val="a0"/>
    <w:link w:val="a9"/>
    <w:uiPriority w:val="99"/>
    <w:rPr>
      <w:rFonts w:ascii="Times New Roman" w:hAnsi="Times New Roman" w:cs="Times New Roman"/>
    </w:rPr>
  </w:style>
  <w:style w:type="paragraph" w:styleId="aa">
    <w:name w:val="footer"/>
    <w:basedOn w:val="a"/>
    <w:link w:val="Char2"/>
    <w:uiPriority w:val="99"/>
    <w:pPr>
      <w:tabs>
        <w:tab w:val="center" w:pos="4153"/>
        <w:tab w:val="right" w:pos="8306"/>
      </w:tabs>
      <w:spacing w:after="0" w:line="240" w:lineRule="auto"/>
    </w:pPr>
  </w:style>
  <w:style w:type="character" w:customStyle="1" w:styleId="Char2">
    <w:name w:val="Υποσέλιδο Char"/>
    <w:basedOn w:val="a0"/>
    <w:link w:val="aa"/>
    <w:uiPriority w:val="99"/>
    <w:rPr>
      <w:rFonts w:ascii="Times New Roman" w:hAnsi="Times New Roman" w:cs="Times New Roman"/>
    </w:rPr>
  </w:style>
  <w:style w:type="paragraph" w:styleId="ab">
    <w:name w:val="footnote text"/>
    <w:basedOn w:val="a"/>
    <w:link w:val="Char3"/>
    <w:uiPriority w:val="99"/>
    <w:pPr>
      <w:spacing w:after="0" w:line="240" w:lineRule="auto"/>
    </w:pPr>
    <w:rPr>
      <w:sz w:val="20"/>
      <w:szCs w:val="20"/>
    </w:rPr>
  </w:style>
  <w:style w:type="character" w:customStyle="1" w:styleId="Char3">
    <w:name w:val="Κείμενο υποσημείωσης Char"/>
    <w:basedOn w:val="a0"/>
    <w:link w:val="ab"/>
    <w:uiPriority w:val="99"/>
    <w:rPr>
      <w:rFonts w:ascii="Times New Roman" w:hAnsi="Times New Roman" w:cs="Times New Roman"/>
      <w:sz w:val="20"/>
      <w:szCs w:val="20"/>
    </w:rPr>
  </w:style>
  <w:style w:type="character" w:styleId="ac">
    <w:name w:val="footnote reference"/>
    <w:aliases w:val="Footnote symbol,Footnote,Footnote reference number,note TESI"/>
    <w:basedOn w:val="a0"/>
    <w:uiPriority w:val="99"/>
    <w:rPr>
      <w:rFonts w:ascii="Times New Roman" w:hAnsi="Times New Roman" w:cs="Times New Roman"/>
      <w:vertAlign w:val="superscript"/>
    </w:rPr>
  </w:style>
  <w:style w:type="paragraph" w:styleId="21">
    <w:name w:val="Body Text 2"/>
    <w:basedOn w:val="a"/>
    <w:link w:val="2Char0"/>
    <w:uiPriority w:val="99"/>
    <w:pPr>
      <w:spacing w:after="120" w:line="320" w:lineRule="atLeast"/>
      <w:ind w:left="426" w:hanging="426"/>
    </w:pPr>
    <w:rPr>
      <w:rFonts w:ascii="Sylfaen" w:hAnsi="Sylfaen" w:cs="Sylfaen"/>
      <w:sz w:val="24"/>
      <w:szCs w:val="24"/>
      <w:lang w:val="el-GR"/>
    </w:rPr>
  </w:style>
  <w:style w:type="character" w:customStyle="1" w:styleId="2Char0">
    <w:name w:val="Σώμα κείμενου 2 Char"/>
    <w:basedOn w:val="a0"/>
    <w:link w:val="21"/>
    <w:uiPriority w:val="99"/>
    <w:rPr>
      <w:rFonts w:ascii="Calibri" w:hAnsi="Calibri" w:cs="Calibri"/>
      <w:lang w:val="en-US" w:eastAsia="en-US"/>
    </w:rPr>
  </w:style>
  <w:style w:type="character" w:customStyle="1" w:styleId="BodyTextIndentChar">
    <w:name w:val="Body Text Indent Char"/>
    <w:basedOn w:val="a0"/>
    <w:uiPriority w:val="99"/>
    <w:rPr>
      <w:rFonts w:ascii="Sylfaen" w:hAnsi="Sylfaen" w:cs="Sylfaen"/>
      <w:sz w:val="24"/>
      <w:szCs w:val="24"/>
      <w:lang w:val="el-GR"/>
    </w:rPr>
  </w:style>
  <w:style w:type="paragraph" w:styleId="ad">
    <w:name w:val="List Paragraph"/>
    <w:basedOn w:val="a"/>
    <w:uiPriority w:val="99"/>
    <w:qFormat/>
    <w:pPr>
      <w:ind w:left="720"/>
    </w:pPr>
  </w:style>
  <w:style w:type="paragraph" w:customStyle="1" w:styleId="ListParagraph1">
    <w:name w:val="List Paragraph1"/>
    <w:basedOn w:val="a"/>
    <w:uiPriority w:val="99"/>
    <w:pPr>
      <w:spacing w:line="276" w:lineRule="auto"/>
      <w:ind w:left="720"/>
      <w:jc w:val="left"/>
    </w:pPr>
    <w:rPr>
      <w:lang w:val="el-GR"/>
    </w:rPr>
  </w:style>
  <w:style w:type="paragraph" w:styleId="ae">
    <w:name w:val="Title"/>
    <w:basedOn w:val="a"/>
    <w:next w:val="a"/>
    <w:link w:val="Char4"/>
    <w:uiPriority w:val="99"/>
    <w:qFormat/>
    <w:pPr>
      <w:pBdr>
        <w:bottom w:val="single" w:sz="8" w:space="4" w:color="auto"/>
      </w:pBdr>
      <w:spacing w:after="300" w:line="240" w:lineRule="auto"/>
      <w:jc w:val="left"/>
    </w:pPr>
    <w:rPr>
      <w:rFonts w:ascii="Cambria" w:hAnsi="Cambria" w:cs="Cambria"/>
      <w:color w:val="000000"/>
      <w:spacing w:val="5"/>
      <w:kern w:val="28"/>
      <w:sz w:val="40"/>
      <w:szCs w:val="40"/>
    </w:rPr>
  </w:style>
  <w:style w:type="character" w:customStyle="1" w:styleId="Char4">
    <w:name w:val="Τίτλος Char"/>
    <w:basedOn w:val="a0"/>
    <w:link w:val="ae"/>
    <w:uiPriority w:val="99"/>
    <w:rPr>
      <w:rFonts w:ascii="Cambria" w:hAnsi="Cambria" w:cs="Cambria"/>
      <w:color w:val="000000"/>
      <w:spacing w:val="5"/>
      <w:kern w:val="28"/>
      <w:sz w:val="52"/>
      <w:szCs w:val="52"/>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rPr>
  </w:style>
  <w:style w:type="character" w:customStyle="1" w:styleId="-HTMLChar">
    <w:name w:val="Προ-διαμορφωμένο HTML Char"/>
    <w:basedOn w:val="a0"/>
    <w:link w:val="-HTML"/>
    <w:uiPriority w:val="99"/>
    <w:rPr>
      <w:rFonts w:ascii="Courier New" w:hAnsi="Courier New" w:cs="Courier New"/>
      <w:sz w:val="20"/>
      <w:szCs w:val="20"/>
    </w:rPr>
  </w:style>
  <w:style w:type="character" w:styleId="HTML">
    <w:name w:val="HTML Code"/>
    <w:basedOn w:val="a0"/>
    <w:uiPriority w:val="99"/>
    <w:rPr>
      <w:rFonts w:ascii="Courier New" w:hAnsi="Courier New" w:cs="Courier New"/>
      <w:sz w:val="20"/>
      <w:szCs w:val="20"/>
    </w:rPr>
  </w:style>
  <w:style w:type="paragraph" w:styleId="40">
    <w:name w:val="toc 4"/>
    <w:basedOn w:val="a"/>
    <w:next w:val="a"/>
    <w:autoRedefine/>
    <w:uiPriority w:val="99"/>
    <w:pPr>
      <w:spacing w:after="0"/>
      <w:ind w:left="660"/>
      <w:jc w:val="left"/>
    </w:pPr>
    <w:rPr>
      <w:sz w:val="24"/>
      <w:szCs w:val="24"/>
    </w:rPr>
  </w:style>
  <w:style w:type="character" w:styleId="-0">
    <w:name w:val="FollowedHyperlink"/>
    <w:basedOn w:val="a0"/>
    <w:uiPriority w:val="99"/>
    <w:rPr>
      <w:rFonts w:ascii="Times New Roman" w:hAnsi="Times New Roman" w:cs="Times New Roman"/>
      <w:color w:val="800080"/>
      <w:u w:val="single"/>
    </w:rPr>
  </w:style>
  <w:style w:type="paragraph" w:styleId="50">
    <w:name w:val="toc 5"/>
    <w:basedOn w:val="a"/>
    <w:next w:val="a"/>
    <w:autoRedefine/>
    <w:uiPriority w:val="99"/>
    <w:pPr>
      <w:spacing w:after="0"/>
      <w:ind w:left="880"/>
      <w:jc w:val="left"/>
    </w:pPr>
    <w:rPr>
      <w:sz w:val="18"/>
      <w:szCs w:val="18"/>
    </w:rPr>
  </w:style>
  <w:style w:type="paragraph" w:styleId="60">
    <w:name w:val="toc 6"/>
    <w:basedOn w:val="a"/>
    <w:next w:val="a"/>
    <w:autoRedefine/>
    <w:uiPriority w:val="99"/>
    <w:pPr>
      <w:spacing w:after="0"/>
      <w:ind w:left="1100"/>
      <w:jc w:val="left"/>
    </w:pPr>
    <w:rPr>
      <w:sz w:val="18"/>
      <w:szCs w:val="18"/>
    </w:rPr>
  </w:style>
  <w:style w:type="paragraph" w:styleId="70">
    <w:name w:val="toc 7"/>
    <w:basedOn w:val="a"/>
    <w:next w:val="a"/>
    <w:autoRedefine/>
    <w:uiPriority w:val="99"/>
    <w:pPr>
      <w:spacing w:after="0"/>
      <w:ind w:left="1320"/>
      <w:jc w:val="left"/>
    </w:pPr>
    <w:rPr>
      <w:sz w:val="18"/>
      <w:szCs w:val="18"/>
    </w:rPr>
  </w:style>
  <w:style w:type="paragraph" w:styleId="80">
    <w:name w:val="toc 8"/>
    <w:basedOn w:val="a"/>
    <w:next w:val="a"/>
    <w:autoRedefine/>
    <w:uiPriority w:val="99"/>
    <w:pPr>
      <w:spacing w:after="0"/>
      <w:ind w:left="1540"/>
      <w:jc w:val="left"/>
    </w:pPr>
    <w:rPr>
      <w:sz w:val="18"/>
      <w:szCs w:val="18"/>
    </w:rPr>
  </w:style>
  <w:style w:type="paragraph" w:styleId="90">
    <w:name w:val="toc 9"/>
    <w:basedOn w:val="a"/>
    <w:next w:val="a"/>
    <w:autoRedefine/>
    <w:uiPriority w:val="99"/>
    <w:pPr>
      <w:spacing w:after="0"/>
      <w:ind w:left="1760"/>
      <w:jc w:val="left"/>
    </w:pPr>
    <w:rPr>
      <w:sz w:val="18"/>
      <w:szCs w:val="18"/>
    </w:rPr>
  </w:style>
  <w:style w:type="character" w:customStyle="1" w:styleId="st">
    <w:name w:val="st"/>
    <w:basedOn w:val="a0"/>
    <w:uiPriority w:val="99"/>
    <w:rPr>
      <w:rFonts w:ascii="Times New Roman" w:hAnsi="Times New Roman" w:cs="Times New Roman"/>
    </w:rPr>
  </w:style>
  <w:style w:type="paragraph" w:customStyle="1" w:styleId="BodyText1">
    <w:name w:val="Body Text 1"/>
    <w:basedOn w:val="af"/>
    <w:uiPriority w:val="99"/>
    <w:pPr>
      <w:widowControl w:val="0"/>
      <w:adjustRightInd w:val="0"/>
      <w:spacing w:line="360" w:lineRule="atLeast"/>
      <w:textAlignment w:val="baseline"/>
    </w:pPr>
    <w:rPr>
      <w:rFonts w:ascii="Arial" w:hAnsi="Arial" w:cs="Arial"/>
      <w:lang w:val="el-GR"/>
    </w:rPr>
  </w:style>
  <w:style w:type="paragraph" w:styleId="af">
    <w:name w:val="Body Text"/>
    <w:basedOn w:val="a"/>
    <w:link w:val="Char5"/>
    <w:uiPriority w:val="99"/>
    <w:pPr>
      <w:spacing w:after="120"/>
    </w:pPr>
  </w:style>
  <w:style w:type="character" w:customStyle="1" w:styleId="Char5">
    <w:name w:val="Σώμα κειμένου Char"/>
    <w:basedOn w:val="a0"/>
    <w:link w:val="af"/>
    <w:uiPriority w:val="99"/>
    <w:rPr>
      <w:rFonts w:ascii="Calibri" w:hAnsi="Calibri" w:cs="Calibri"/>
      <w:lang w:val="en-US" w:eastAsia="en-US"/>
    </w:rPr>
  </w:style>
  <w:style w:type="paragraph" w:customStyle="1" w:styleId="Default">
    <w:name w:val="Default"/>
    <w:rsid w:val="007938F3"/>
    <w:pPr>
      <w:autoSpaceDE w:val="0"/>
      <w:autoSpaceDN w:val="0"/>
      <w:adjustRightInd w:val="0"/>
    </w:pPr>
    <w:rPr>
      <w:rFonts w:ascii="Arial" w:eastAsiaTheme="minorHAnsi" w:hAnsi="Arial" w:cs="Arial"/>
      <w:color w:val="000000"/>
      <w:sz w:val="24"/>
      <w:szCs w:val="24"/>
      <w:lang w:val="en-US" w:eastAsia="en-US"/>
    </w:rPr>
  </w:style>
  <w:style w:type="paragraph" w:customStyle="1" w:styleId="as">
    <w:name w:val=".as..."/>
    <w:basedOn w:val="Default"/>
    <w:next w:val="Default"/>
    <w:uiPriority w:val="99"/>
    <w:rsid w:val="007938F3"/>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annotation text" w:unhideWhenUsed="1"/>
    <w:lsdException w:name="index heading" w:unhideWhenUsed="1"/>
    <w:lsdException w:name="caption" w:semiHidden="0" w:qFormat="1"/>
    <w:lsdException w:name="envelope address" w:unhideWhenUsed="1"/>
    <w:lsdException w:name="envelope return"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3" w:unhideWhenUsed="1"/>
    <w:lsdException w:name="Body Text Indent 2" w:unhideWhenUsed="1"/>
    <w:lsdException w:name="Body Text Indent 3" w:unhideWhenUsed="1"/>
    <w:lsdException w:name="Block Text" w:unhideWhenUsed="1"/>
    <w:lsdException w:name="Strong" w:semiHidden="0" w:qFormat="1"/>
    <w:lsdException w:name="Emphasis" w:semiHidden="0" w:uiPriority="20"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Definition" w:unhideWhenUsed="1"/>
    <w:lsdException w:name="HTML Keyboar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a">
    <w:name w:val="Normal"/>
    <w:qFormat/>
    <w:pPr>
      <w:spacing w:after="200" w:line="360" w:lineRule="auto"/>
      <w:jc w:val="both"/>
    </w:pPr>
    <w:rPr>
      <w:rFonts w:ascii="Calibri" w:hAnsi="Calibri" w:cs="Calibri"/>
      <w:lang w:val="en-US" w:eastAsia="en-US"/>
    </w:rPr>
  </w:style>
  <w:style w:type="paragraph" w:styleId="1">
    <w:name w:val="heading 1"/>
    <w:basedOn w:val="a"/>
    <w:next w:val="a"/>
    <w:link w:val="1Char"/>
    <w:uiPriority w:val="99"/>
    <w:qFormat/>
    <w:pPr>
      <w:keepNext/>
      <w:keepLines/>
      <w:numPr>
        <w:numId w:val="1"/>
      </w:numPr>
      <w:spacing w:before="480" w:after="0"/>
      <w:outlineLvl w:val="0"/>
    </w:pPr>
    <w:rPr>
      <w:rFonts w:ascii="Cambria" w:hAnsi="Cambria" w:cs="Cambria"/>
      <w:b/>
      <w:bCs/>
      <w:sz w:val="28"/>
      <w:szCs w:val="28"/>
    </w:rPr>
  </w:style>
  <w:style w:type="paragraph" w:styleId="2">
    <w:name w:val="heading 2"/>
    <w:basedOn w:val="a"/>
    <w:next w:val="a"/>
    <w:link w:val="2Char"/>
    <w:uiPriority w:val="99"/>
    <w:qFormat/>
    <w:pPr>
      <w:keepNext/>
      <w:keepLines/>
      <w:numPr>
        <w:ilvl w:val="1"/>
        <w:numId w:val="1"/>
      </w:numPr>
      <w:spacing w:before="200" w:after="120" w:line="240" w:lineRule="auto"/>
      <w:outlineLvl w:val="1"/>
    </w:pPr>
    <w:rPr>
      <w:rFonts w:ascii="Cambria" w:hAnsi="Cambria" w:cs="Cambria"/>
      <w:sz w:val="26"/>
      <w:szCs w:val="26"/>
    </w:rPr>
  </w:style>
  <w:style w:type="paragraph" w:styleId="3">
    <w:name w:val="heading 3"/>
    <w:basedOn w:val="a"/>
    <w:next w:val="a"/>
    <w:link w:val="3Char"/>
    <w:uiPriority w:val="99"/>
    <w:qFormat/>
    <w:pPr>
      <w:keepNext/>
      <w:keepLines/>
      <w:numPr>
        <w:ilvl w:val="2"/>
        <w:numId w:val="1"/>
      </w:numPr>
      <w:spacing w:before="200" w:after="120" w:line="240" w:lineRule="auto"/>
      <w:outlineLvl w:val="2"/>
    </w:pPr>
    <w:rPr>
      <w:rFonts w:ascii="Cambria" w:hAnsi="Cambria" w:cs="Cambria"/>
      <w:b/>
      <w:bCs/>
      <w:i/>
      <w:iCs/>
      <w:sz w:val="24"/>
      <w:szCs w:val="24"/>
    </w:rPr>
  </w:style>
  <w:style w:type="paragraph" w:styleId="4">
    <w:name w:val="heading 4"/>
    <w:basedOn w:val="a"/>
    <w:next w:val="a"/>
    <w:link w:val="4Char"/>
    <w:uiPriority w:val="99"/>
    <w:qFormat/>
    <w:pPr>
      <w:keepNext/>
      <w:keepLines/>
      <w:numPr>
        <w:ilvl w:val="3"/>
        <w:numId w:val="1"/>
      </w:numPr>
      <w:spacing w:before="200" w:after="0"/>
      <w:outlineLvl w:val="3"/>
    </w:pPr>
    <w:rPr>
      <w:rFonts w:ascii="Cambria" w:hAnsi="Cambria" w:cs="Cambria"/>
      <w:b/>
      <w:bCs/>
      <w:i/>
      <w:iCs/>
    </w:rPr>
  </w:style>
  <w:style w:type="paragraph" w:styleId="5">
    <w:name w:val="heading 5"/>
    <w:basedOn w:val="a"/>
    <w:next w:val="a"/>
    <w:link w:val="5Char"/>
    <w:uiPriority w:val="99"/>
    <w:qFormat/>
    <w:pPr>
      <w:keepNext/>
      <w:keepLines/>
      <w:numPr>
        <w:ilvl w:val="4"/>
        <w:numId w:val="1"/>
      </w:numPr>
      <w:spacing w:before="200" w:after="0"/>
      <w:outlineLvl w:val="4"/>
    </w:pPr>
    <w:rPr>
      <w:rFonts w:ascii="Cambria" w:hAnsi="Cambria" w:cs="Cambria"/>
    </w:rPr>
  </w:style>
  <w:style w:type="paragraph" w:styleId="6">
    <w:name w:val="heading 6"/>
    <w:basedOn w:val="a"/>
    <w:next w:val="a"/>
    <w:link w:val="6Char"/>
    <w:uiPriority w:val="99"/>
    <w:qFormat/>
    <w:pPr>
      <w:keepNext/>
      <w:keepLines/>
      <w:numPr>
        <w:ilvl w:val="5"/>
        <w:numId w:val="1"/>
      </w:numPr>
      <w:spacing w:before="200" w:after="0"/>
      <w:outlineLvl w:val="5"/>
    </w:pPr>
    <w:rPr>
      <w:rFonts w:ascii="Cambria" w:hAnsi="Cambria" w:cs="Cambria"/>
      <w:i/>
      <w:iCs/>
    </w:rPr>
  </w:style>
  <w:style w:type="paragraph" w:styleId="7">
    <w:name w:val="heading 7"/>
    <w:basedOn w:val="a"/>
    <w:next w:val="a"/>
    <w:link w:val="7Char"/>
    <w:uiPriority w:val="99"/>
    <w:qFormat/>
    <w:pPr>
      <w:keepNext/>
      <w:keepLines/>
      <w:numPr>
        <w:ilvl w:val="6"/>
        <w:numId w:val="1"/>
      </w:numPr>
      <w:spacing w:before="200" w:after="0"/>
      <w:outlineLvl w:val="6"/>
    </w:pPr>
    <w:rPr>
      <w:rFonts w:ascii="Cambria" w:hAnsi="Cambria" w:cs="Cambria"/>
      <w:i/>
      <w:iCs/>
    </w:rPr>
  </w:style>
  <w:style w:type="paragraph" w:styleId="8">
    <w:name w:val="heading 8"/>
    <w:basedOn w:val="a"/>
    <w:next w:val="a"/>
    <w:link w:val="8Char"/>
    <w:uiPriority w:val="99"/>
    <w:qFormat/>
    <w:pPr>
      <w:keepNext/>
      <w:keepLines/>
      <w:numPr>
        <w:ilvl w:val="7"/>
        <w:numId w:val="1"/>
      </w:numPr>
      <w:spacing w:before="200" w:after="0"/>
      <w:outlineLvl w:val="7"/>
    </w:pPr>
    <w:rPr>
      <w:rFonts w:ascii="Cambria" w:hAnsi="Cambria" w:cs="Cambria"/>
      <w:sz w:val="20"/>
      <w:szCs w:val="20"/>
    </w:rPr>
  </w:style>
  <w:style w:type="paragraph" w:styleId="9">
    <w:name w:val="heading 9"/>
    <w:basedOn w:val="a"/>
    <w:next w:val="a"/>
    <w:link w:val="9Char"/>
    <w:uiPriority w:val="99"/>
    <w:qFormat/>
    <w:pPr>
      <w:keepNext/>
      <w:keepLines/>
      <w:numPr>
        <w:ilvl w:val="8"/>
        <w:numId w:val="1"/>
      </w:numPr>
      <w:spacing w:before="200" w:after="0"/>
      <w:outlineLvl w:val="8"/>
    </w:pPr>
    <w:rPr>
      <w:rFonts w:ascii="Cambria" w:hAnsi="Cambria" w:cs="Cambria"/>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rPr>
      <w:rFonts w:ascii="Cambria" w:hAnsi="Cambria" w:cs="Cambria"/>
      <w:b/>
      <w:bCs/>
      <w:sz w:val="28"/>
      <w:szCs w:val="28"/>
    </w:rPr>
  </w:style>
  <w:style w:type="character" w:customStyle="1" w:styleId="2Char">
    <w:name w:val="Επικεφαλίδα 2 Char"/>
    <w:basedOn w:val="a0"/>
    <w:link w:val="2"/>
    <w:uiPriority w:val="99"/>
    <w:rPr>
      <w:rFonts w:ascii="Cambria" w:hAnsi="Cambria" w:cs="Cambria"/>
      <w:sz w:val="26"/>
      <w:szCs w:val="26"/>
    </w:rPr>
  </w:style>
  <w:style w:type="character" w:customStyle="1" w:styleId="3Char">
    <w:name w:val="Επικεφαλίδα 3 Char"/>
    <w:basedOn w:val="a0"/>
    <w:link w:val="3"/>
    <w:uiPriority w:val="99"/>
    <w:rPr>
      <w:rFonts w:ascii="Cambria" w:hAnsi="Cambria" w:cs="Cambria"/>
      <w:b/>
      <w:bCs/>
      <w:i/>
      <w:iCs/>
      <w:sz w:val="24"/>
      <w:szCs w:val="24"/>
    </w:rPr>
  </w:style>
  <w:style w:type="character" w:customStyle="1" w:styleId="4Char">
    <w:name w:val="Επικεφαλίδα 4 Char"/>
    <w:basedOn w:val="a0"/>
    <w:link w:val="4"/>
    <w:uiPriority w:val="99"/>
    <w:rPr>
      <w:rFonts w:ascii="Cambria" w:hAnsi="Cambria" w:cs="Cambria"/>
      <w:b/>
      <w:bCs/>
      <w:i/>
      <w:iCs/>
      <w:color w:val="auto"/>
    </w:rPr>
  </w:style>
  <w:style w:type="character" w:customStyle="1" w:styleId="5Char">
    <w:name w:val="Επικεφαλίδα 5 Char"/>
    <w:basedOn w:val="a0"/>
    <w:link w:val="5"/>
    <w:uiPriority w:val="99"/>
    <w:rPr>
      <w:rFonts w:ascii="Cambria" w:hAnsi="Cambria" w:cs="Cambria"/>
      <w:color w:val="auto"/>
    </w:rPr>
  </w:style>
  <w:style w:type="character" w:customStyle="1" w:styleId="6Char">
    <w:name w:val="Επικεφαλίδα 6 Char"/>
    <w:basedOn w:val="a0"/>
    <w:link w:val="6"/>
    <w:uiPriority w:val="99"/>
    <w:rPr>
      <w:rFonts w:ascii="Cambria" w:hAnsi="Cambria" w:cs="Cambria"/>
      <w:i/>
      <w:iCs/>
      <w:color w:val="auto"/>
    </w:rPr>
  </w:style>
  <w:style w:type="character" w:customStyle="1" w:styleId="7Char">
    <w:name w:val="Επικεφαλίδα 7 Char"/>
    <w:basedOn w:val="a0"/>
    <w:link w:val="7"/>
    <w:uiPriority w:val="99"/>
    <w:rPr>
      <w:rFonts w:ascii="Cambria" w:hAnsi="Cambria" w:cs="Cambria"/>
      <w:i/>
      <w:iCs/>
      <w:color w:val="auto"/>
    </w:rPr>
  </w:style>
  <w:style w:type="character" w:customStyle="1" w:styleId="8Char">
    <w:name w:val="Επικεφαλίδα 8 Char"/>
    <w:basedOn w:val="a0"/>
    <w:link w:val="8"/>
    <w:uiPriority w:val="99"/>
    <w:rPr>
      <w:rFonts w:ascii="Cambria" w:hAnsi="Cambria" w:cs="Cambria"/>
      <w:color w:val="auto"/>
      <w:sz w:val="20"/>
      <w:szCs w:val="20"/>
    </w:rPr>
  </w:style>
  <w:style w:type="character" w:customStyle="1" w:styleId="9Char">
    <w:name w:val="Επικεφαλίδα 9 Char"/>
    <w:basedOn w:val="a0"/>
    <w:link w:val="9"/>
    <w:uiPriority w:val="99"/>
    <w:rPr>
      <w:rFonts w:ascii="Cambria" w:hAnsi="Cambria" w:cs="Cambria"/>
      <w:i/>
      <w:iCs/>
      <w:color w:val="auto"/>
      <w:sz w:val="20"/>
      <w:szCs w:val="20"/>
    </w:rPr>
  </w:style>
  <w:style w:type="paragraph" w:styleId="a3">
    <w:name w:val="caption"/>
    <w:basedOn w:val="a"/>
    <w:next w:val="a"/>
    <w:uiPriority w:val="99"/>
    <w:qFormat/>
    <w:pPr>
      <w:spacing w:before="240" w:line="240" w:lineRule="auto"/>
    </w:pPr>
    <w:rPr>
      <w:b/>
      <w:bCs/>
      <w:sz w:val="20"/>
      <w:szCs w:val="20"/>
    </w:rPr>
  </w:style>
  <w:style w:type="paragraph" w:styleId="a4">
    <w:name w:val="Document Map"/>
    <w:basedOn w:val="a"/>
    <w:link w:val="Char"/>
    <w:uiPriority w:val="99"/>
    <w:pPr>
      <w:spacing w:after="0" w:line="240" w:lineRule="auto"/>
    </w:pPr>
    <w:rPr>
      <w:rFonts w:ascii="Tahoma" w:hAnsi="Tahoma" w:cs="Tahoma"/>
      <w:sz w:val="16"/>
      <w:szCs w:val="16"/>
    </w:rPr>
  </w:style>
  <w:style w:type="character" w:customStyle="1" w:styleId="Char">
    <w:name w:val="Χάρτης εγγράφου Char"/>
    <w:basedOn w:val="a0"/>
    <w:link w:val="a4"/>
    <w:uiPriority w:val="99"/>
    <w:rPr>
      <w:rFonts w:ascii="Tahoma" w:hAnsi="Tahoma" w:cs="Tahoma"/>
      <w:sz w:val="16"/>
      <w:szCs w:val="16"/>
    </w:rPr>
  </w:style>
  <w:style w:type="character" w:styleId="a5">
    <w:name w:val="Strong"/>
    <w:basedOn w:val="a0"/>
    <w:uiPriority w:val="99"/>
    <w:qFormat/>
    <w:rPr>
      <w:rFonts w:ascii="Times New Roman" w:hAnsi="Times New Roman" w:cs="Times New Roman"/>
      <w:b/>
      <w:bCs/>
    </w:rPr>
  </w:style>
  <w:style w:type="paragraph" w:styleId="a6">
    <w:name w:val="TOC Heading"/>
    <w:basedOn w:val="1"/>
    <w:next w:val="a"/>
    <w:uiPriority w:val="99"/>
    <w:qFormat/>
    <w:pPr>
      <w:numPr>
        <w:numId w:val="0"/>
      </w:numPr>
      <w:spacing w:line="276" w:lineRule="auto"/>
      <w:jc w:val="left"/>
      <w:outlineLvl w:val="9"/>
    </w:pPr>
  </w:style>
  <w:style w:type="paragraph" w:styleId="10">
    <w:name w:val="toc 1"/>
    <w:basedOn w:val="a"/>
    <w:next w:val="a"/>
    <w:autoRedefine/>
    <w:uiPriority w:val="99"/>
    <w:pPr>
      <w:spacing w:before="120" w:after="120"/>
      <w:jc w:val="left"/>
    </w:pPr>
    <w:rPr>
      <w:b/>
      <w:bCs/>
      <w:caps/>
      <w:sz w:val="24"/>
      <w:szCs w:val="24"/>
    </w:rPr>
  </w:style>
  <w:style w:type="paragraph" w:styleId="20">
    <w:name w:val="toc 2"/>
    <w:basedOn w:val="a"/>
    <w:next w:val="a"/>
    <w:autoRedefine/>
    <w:uiPriority w:val="99"/>
    <w:pPr>
      <w:spacing w:after="0"/>
      <w:ind w:left="220"/>
      <w:jc w:val="left"/>
    </w:pPr>
    <w:rPr>
      <w:smallCaps/>
      <w:sz w:val="24"/>
      <w:szCs w:val="24"/>
    </w:rPr>
  </w:style>
  <w:style w:type="paragraph" w:styleId="30">
    <w:name w:val="toc 3"/>
    <w:basedOn w:val="a"/>
    <w:next w:val="a"/>
    <w:autoRedefine/>
    <w:uiPriority w:val="99"/>
    <w:pPr>
      <w:spacing w:after="0"/>
      <w:ind w:left="440"/>
      <w:jc w:val="left"/>
    </w:pPr>
    <w:rPr>
      <w:i/>
      <w:iCs/>
      <w:sz w:val="24"/>
      <w:szCs w:val="24"/>
    </w:rPr>
  </w:style>
  <w:style w:type="character" w:styleId="-">
    <w:name w:val="Hyperlink"/>
    <w:basedOn w:val="a0"/>
    <w:uiPriority w:val="99"/>
    <w:rPr>
      <w:rFonts w:ascii="Times New Roman" w:hAnsi="Times New Roman" w:cs="Times New Roman"/>
      <w:color w:val="0000FF"/>
      <w:u w:val="single"/>
    </w:rPr>
  </w:style>
  <w:style w:type="paragraph" w:styleId="a7">
    <w:name w:val="Balloon Text"/>
    <w:basedOn w:val="a"/>
    <w:link w:val="Char0"/>
    <w:uiPriority w:val="99"/>
    <w:pPr>
      <w:spacing w:after="0" w:line="240" w:lineRule="auto"/>
    </w:pPr>
    <w:rPr>
      <w:rFonts w:ascii="Tahoma" w:hAnsi="Tahoma" w:cs="Tahoma"/>
      <w:sz w:val="16"/>
      <w:szCs w:val="16"/>
    </w:rPr>
  </w:style>
  <w:style w:type="character" w:customStyle="1" w:styleId="Char0">
    <w:name w:val="Κείμενο πλαισίου Char"/>
    <w:basedOn w:val="a0"/>
    <w:link w:val="a7"/>
    <w:uiPriority w:val="99"/>
    <w:rPr>
      <w:rFonts w:ascii="Tahoma" w:hAnsi="Tahoma" w:cs="Tahoma"/>
      <w:sz w:val="16"/>
      <w:szCs w:val="16"/>
    </w:rPr>
  </w:style>
  <w:style w:type="paragraph" w:styleId="a8">
    <w:name w:val="table of figures"/>
    <w:basedOn w:val="a"/>
    <w:next w:val="a"/>
    <w:uiPriority w:val="99"/>
    <w:pPr>
      <w:spacing w:after="0"/>
    </w:pPr>
  </w:style>
  <w:style w:type="paragraph" w:styleId="a9">
    <w:name w:val="header"/>
    <w:basedOn w:val="a"/>
    <w:link w:val="Char1"/>
    <w:uiPriority w:val="99"/>
    <w:pPr>
      <w:tabs>
        <w:tab w:val="center" w:pos="4153"/>
        <w:tab w:val="right" w:pos="8306"/>
      </w:tabs>
      <w:spacing w:after="0" w:line="240" w:lineRule="auto"/>
    </w:pPr>
  </w:style>
  <w:style w:type="character" w:customStyle="1" w:styleId="Char1">
    <w:name w:val="Κεφαλίδα Char"/>
    <w:basedOn w:val="a0"/>
    <w:link w:val="a9"/>
    <w:uiPriority w:val="99"/>
    <w:rPr>
      <w:rFonts w:ascii="Times New Roman" w:hAnsi="Times New Roman" w:cs="Times New Roman"/>
    </w:rPr>
  </w:style>
  <w:style w:type="paragraph" w:styleId="aa">
    <w:name w:val="footer"/>
    <w:basedOn w:val="a"/>
    <w:link w:val="Char2"/>
    <w:uiPriority w:val="99"/>
    <w:pPr>
      <w:tabs>
        <w:tab w:val="center" w:pos="4153"/>
        <w:tab w:val="right" w:pos="8306"/>
      </w:tabs>
      <w:spacing w:after="0" w:line="240" w:lineRule="auto"/>
    </w:pPr>
  </w:style>
  <w:style w:type="character" w:customStyle="1" w:styleId="Char2">
    <w:name w:val="Υποσέλιδο Char"/>
    <w:basedOn w:val="a0"/>
    <w:link w:val="aa"/>
    <w:uiPriority w:val="99"/>
    <w:rPr>
      <w:rFonts w:ascii="Times New Roman" w:hAnsi="Times New Roman" w:cs="Times New Roman"/>
    </w:rPr>
  </w:style>
  <w:style w:type="paragraph" w:styleId="ab">
    <w:name w:val="footnote text"/>
    <w:basedOn w:val="a"/>
    <w:link w:val="Char3"/>
    <w:uiPriority w:val="99"/>
    <w:pPr>
      <w:spacing w:after="0" w:line="240" w:lineRule="auto"/>
    </w:pPr>
    <w:rPr>
      <w:sz w:val="20"/>
      <w:szCs w:val="20"/>
    </w:rPr>
  </w:style>
  <w:style w:type="character" w:customStyle="1" w:styleId="Char3">
    <w:name w:val="Κείμενο υποσημείωσης Char"/>
    <w:basedOn w:val="a0"/>
    <w:link w:val="ab"/>
    <w:uiPriority w:val="99"/>
    <w:rPr>
      <w:rFonts w:ascii="Times New Roman" w:hAnsi="Times New Roman" w:cs="Times New Roman"/>
      <w:sz w:val="20"/>
      <w:szCs w:val="20"/>
    </w:rPr>
  </w:style>
  <w:style w:type="character" w:styleId="ac">
    <w:name w:val="footnote reference"/>
    <w:aliases w:val="Footnote symbol,Footnote,Footnote reference number,note TESI"/>
    <w:basedOn w:val="a0"/>
    <w:uiPriority w:val="99"/>
    <w:rPr>
      <w:rFonts w:ascii="Times New Roman" w:hAnsi="Times New Roman" w:cs="Times New Roman"/>
      <w:vertAlign w:val="superscript"/>
    </w:rPr>
  </w:style>
  <w:style w:type="paragraph" w:styleId="21">
    <w:name w:val="Body Text 2"/>
    <w:basedOn w:val="a"/>
    <w:link w:val="2Char0"/>
    <w:uiPriority w:val="99"/>
    <w:pPr>
      <w:spacing w:after="120" w:line="320" w:lineRule="atLeast"/>
      <w:ind w:left="426" w:hanging="426"/>
    </w:pPr>
    <w:rPr>
      <w:rFonts w:ascii="Sylfaen" w:hAnsi="Sylfaen" w:cs="Sylfaen"/>
      <w:sz w:val="24"/>
      <w:szCs w:val="24"/>
      <w:lang w:val="el-GR"/>
    </w:rPr>
  </w:style>
  <w:style w:type="character" w:customStyle="1" w:styleId="2Char0">
    <w:name w:val="Σώμα κείμενου 2 Char"/>
    <w:basedOn w:val="a0"/>
    <w:link w:val="21"/>
    <w:uiPriority w:val="99"/>
    <w:rPr>
      <w:rFonts w:ascii="Calibri" w:hAnsi="Calibri" w:cs="Calibri"/>
      <w:lang w:val="en-US" w:eastAsia="en-US"/>
    </w:rPr>
  </w:style>
  <w:style w:type="character" w:customStyle="1" w:styleId="BodyTextIndentChar">
    <w:name w:val="Body Text Indent Char"/>
    <w:basedOn w:val="a0"/>
    <w:uiPriority w:val="99"/>
    <w:rPr>
      <w:rFonts w:ascii="Sylfaen" w:hAnsi="Sylfaen" w:cs="Sylfaen"/>
      <w:sz w:val="24"/>
      <w:szCs w:val="24"/>
      <w:lang w:val="el-GR"/>
    </w:rPr>
  </w:style>
  <w:style w:type="paragraph" w:styleId="ad">
    <w:name w:val="List Paragraph"/>
    <w:basedOn w:val="a"/>
    <w:uiPriority w:val="99"/>
    <w:qFormat/>
    <w:pPr>
      <w:ind w:left="720"/>
    </w:pPr>
  </w:style>
  <w:style w:type="paragraph" w:customStyle="1" w:styleId="ListParagraph1">
    <w:name w:val="List Paragraph1"/>
    <w:basedOn w:val="a"/>
    <w:uiPriority w:val="99"/>
    <w:pPr>
      <w:spacing w:line="276" w:lineRule="auto"/>
      <w:ind w:left="720"/>
      <w:jc w:val="left"/>
    </w:pPr>
    <w:rPr>
      <w:lang w:val="el-GR"/>
    </w:rPr>
  </w:style>
  <w:style w:type="paragraph" w:styleId="ae">
    <w:name w:val="Title"/>
    <w:basedOn w:val="a"/>
    <w:next w:val="a"/>
    <w:link w:val="Char4"/>
    <w:uiPriority w:val="99"/>
    <w:qFormat/>
    <w:pPr>
      <w:pBdr>
        <w:bottom w:val="single" w:sz="8" w:space="4" w:color="auto"/>
      </w:pBdr>
      <w:spacing w:after="300" w:line="240" w:lineRule="auto"/>
      <w:jc w:val="left"/>
    </w:pPr>
    <w:rPr>
      <w:rFonts w:ascii="Cambria" w:hAnsi="Cambria" w:cs="Cambria"/>
      <w:color w:val="000000"/>
      <w:spacing w:val="5"/>
      <w:kern w:val="28"/>
      <w:sz w:val="40"/>
      <w:szCs w:val="40"/>
    </w:rPr>
  </w:style>
  <w:style w:type="character" w:customStyle="1" w:styleId="Char4">
    <w:name w:val="Τίτλος Char"/>
    <w:basedOn w:val="a0"/>
    <w:link w:val="ae"/>
    <w:uiPriority w:val="99"/>
    <w:rPr>
      <w:rFonts w:ascii="Cambria" w:hAnsi="Cambria" w:cs="Cambria"/>
      <w:color w:val="000000"/>
      <w:spacing w:val="5"/>
      <w:kern w:val="28"/>
      <w:sz w:val="52"/>
      <w:szCs w:val="52"/>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rPr>
  </w:style>
  <w:style w:type="character" w:customStyle="1" w:styleId="-HTMLChar">
    <w:name w:val="Προ-διαμορφωμένο HTML Char"/>
    <w:basedOn w:val="a0"/>
    <w:link w:val="-HTML"/>
    <w:uiPriority w:val="99"/>
    <w:rPr>
      <w:rFonts w:ascii="Courier New" w:hAnsi="Courier New" w:cs="Courier New"/>
      <w:sz w:val="20"/>
      <w:szCs w:val="20"/>
    </w:rPr>
  </w:style>
  <w:style w:type="character" w:styleId="HTML">
    <w:name w:val="HTML Code"/>
    <w:basedOn w:val="a0"/>
    <w:uiPriority w:val="99"/>
    <w:rPr>
      <w:rFonts w:ascii="Courier New" w:hAnsi="Courier New" w:cs="Courier New"/>
      <w:sz w:val="20"/>
      <w:szCs w:val="20"/>
    </w:rPr>
  </w:style>
  <w:style w:type="paragraph" w:styleId="40">
    <w:name w:val="toc 4"/>
    <w:basedOn w:val="a"/>
    <w:next w:val="a"/>
    <w:autoRedefine/>
    <w:uiPriority w:val="99"/>
    <w:pPr>
      <w:spacing w:after="0"/>
      <w:ind w:left="660"/>
      <w:jc w:val="left"/>
    </w:pPr>
    <w:rPr>
      <w:sz w:val="24"/>
      <w:szCs w:val="24"/>
    </w:rPr>
  </w:style>
  <w:style w:type="character" w:styleId="-0">
    <w:name w:val="FollowedHyperlink"/>
    <w:basedOn w:val="a0"/>
    <w:uiPriority w:val="99"/>
    <w:rPr>
      <w:rFonts w:ascii="Times New Roman" w:hAnsi="Times New Roman" w:cs="Times New Roman"/>
      <w:color w:val="800080"/>
      <w:u w:val="single"/>
    </w:rPr>
  </w:style>
  <w:style w:type="paragraph" w:styleId="50">
    <w:name w:val="toc 5"/>
    <w:basedOn w:val="a"/>
    <w:next w:val="a"/>
    <w:autoRedefine/>
    <w:uiPriority w:val="99"/>
    <w:pPr>
      <w:spacing w:after="0"/>
      <w:ind w:left="880"/>
      <w:jc w:val="left"/>
    </w:pPr>
    <w:rPr>
      <w:sz w:val="18"/>
      <w:szCs w:val="18"/>
    </w:rPr>
  </w:style>
  <w:style w:type="paragraph" w:styleId="60">
    <w:name w:val="toc 6"/>
    <w:basedOn w:val="a"/>
    <w:next w:val="a"/>
    <w:autoRedefine/>
    <w:uiPriority w:val="99"/>
    <w:pPr>
      <w:spacing w:after="0"/>
      <w:ind w:left="1100"/>
      <w:jc w:val="left"/>
    </w:pPr>
    <w:rPr>
      <w:sz w:val="18"/>
      <w:szCs w:val="18"/>
    </w:rPr>
  </w:style>
  <w:style w:type="paragraph" w:styleId="70">
    <w:name w:val="toc 7"/>
    <w:basedOn w:val="a"/>
    <w:next w:val="a"/>
    <w:autoRedefine/>
    <w:uiPriority w:val="99"/>
    <w:pPr>
      <w:spacing w:after="0"/>
      <w:ind w:left="1320"/>
      <w:jc w:val="left"/>
    </w:pPr>
    <w:rPr>
      <w:sz w:val="18"/>
      <w:szCs w:val="18"/>
    </w:rPr>
  </w:style>
  <w:style w:type="paragraph" w:styleId="80">
    <w:name w:val="toc 8"/>
    <w:basedOn w:val="a"/>
    <w:next w:val="a"/>
    <w:autoRedefine/>
    <w:uiPriority w:val="99"/>
    <w:pPr>
      <w:spacing w:after="0"/>
      <w:ind w:left="1540"/>
      <w:jc w:val="left"/>
    </w:pPr>
    <w:rPr>
      <w:sz w:val="18"/>
      <w:szCs w:val="18"/>
    </w:rPr>
  </w:style>
  <w:style w:type="paragraph" w:styleId="90">
    <w:name w:val="toc 9"/>
    <w:basedOn w:val="a"/>
    <w:next w:val="a"/>
    <w:autoRedefine/>
    <w:uiPriority w:val="99"/>
    <w:pPr>
      <w:spacing w:after="0"/>
      <w:ind w:left="1760"/>
      <w:jc w:val="left"/>
    </w:pPr>
    <w:rPr>
      <w:sz w:val="18"/>
      <w:szCs w:val="18"/>
    </w:rPr>
  </w:style>
  <w:style w:type="character" w:customStyle="1" w:styleId="st">
    <w:name w:val="st"/>
    <w:basedOn w:val="a0"/>
    <w:uiPriority w:val="99"/>
    <w:rPr>
      <w:rFonts w:ascii="Times New Roman" w:hAnsi="Times New Roman" w:cs="Times New Roman"/>
    </w:rPr>
  </w:style>
  <w:style w:type="paragraph" w:customStyle="1" w:styleId="BodyText1">
    <w:name w:val="Body Text 1"/>
    <w:basedOn w:val="af"/>
    <w:uiPriority w:val="99"/>
    <w:pPr>
      <w:widowControl w:val="0"/>
      <w:adjustRightInd w:val="0"/>
      <w:spacing w:line="360" w:lineRule="atLeast"/>
      <w:textAlignment w:val="baseline"/>
    </w:pPr>
    <w:rPr>
      <w:rFonts w:ascii="Arial" w:hAnsi="Arial" w:cs="Arial"/>
      <w:lang w:val="el-GR"/>
    </w:rPr>
  </w:style>
  <w:style w:type="paragraph" w:styleId="af">
    <w:name w:val="Body Text"/>
    <w:basedOn w:val="a"/>
    <w:link w:val="Char5"/>
    <w:uiPriority w:val="99"/>
    <w:pPr>
      <w:spacing w:after="120"/>
    </w:pPr>
  </w:style>
  <w:style w:type="character" w:customStyle="1" w:styleId="Char5">
    <w:name w:val="Σώμα κειμένου Char"/>
    <w:basedOn w:val="a0"/>
    <w:link w:val="af"/>
    <w:uiPriority w:val="99"/>
    <w:rPr>
      <w:rFonts w:ascii="Calibri" w:hAnsi="Calibri" w:cs="Calibri"/>
      <w:lang w:val="en-US" w:eastAsia="en-US"/>
    </w:rPr>
  </w:style>
  <w:style w:type="paragraph" w:customStyle="1" w:styleId="Default">
    <w:name w:val="Default"/>
    <w:rsid w:val="007938F3"/>
    <w:pPr>
      <w:autoSpaceDE w:val="0"/>
      <w:autoSpaceDN w:val="0"/>
      <w:adjustRightInd w:val="0"/>
    </w:pPr>
    <w:rPr>
      <w:rFonts w:ascii="Arial" w:eastAsiaTheme="minorHAnsi" w:hAnsi="Arial" w:cs="Arial"/>
      <w:color w:val="000000"/>
      <w:sz w:val="24"/>
      <w:szCs w:val="24"/>
      <w:lang w:val="en-US" w:eastAsia="en-US"/>
    </w:rPr>
  </w:style>
  <w:style w:type="paragraph" w:customStyle="1" w:styleId="as">
    <w:name w:val=".as..."/>
    <w:basedOn w:val="Default"/>
    <w:next w:val="Default"/>
    <w:uiPriority w:val="99"/>
    <w:rsid w:val="007938F3"/>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FCEC9-610E-43F5-991F-75FD0AD73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2622</Words>
  <Characters>14951</Characters>
  <Application>Microsoft Office Word</Application>
  <DocSecurity>0</DocSecurity>
  <Lines>124</Lines>
  <Paragraphs>35</Paragraphs>
  <ScaleCrop>false</ScaleCrop>
  <HeadingPairs>
    <vt:vector size="2" baseType="variant">
      <vt:variant>
        <vt:lpstr>Τίτλος</vt:lpstr>
      </vt:variant>
      <vt:variant>
        <vt:i4>1</vt:i4>
      </vt:variant>
    </vt:vector>
  </HeadingPairs>
  <TitlesOfParts>
    <vt:vector size="1" baseType="lpstr">
      <vt:lpstr/>
    </vt:vector>
  </TitlesOfParts>
  <Company>SPEED</Company>
  <LinksUpToDate>false</LinksUpToDate>
  <CharactersWithSpaces>17538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Nikos Schmidt</cp:lastModifiedBy>
  <cp:revision>20</cp:revision>
  <cp:lastPrinted>2014-03-31T08:59:00Z</cp:lastPrinted>
  <dcterms:created xsi:type="dcterms:W3CDTF">2014-06-05T11:09:00Z</dcterms:created>
  <dcterms:modified xsi:type="dcterms:W3CDTF">2014-06-06T12:15:00Z</dcterms:modified>
</cp:coreProperties>
</file>